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62DA" w:rsidRPr="001662DA">
        <w:rPr>
          <w:rFonts w:ascii="Times New Roman" w:hAnsi="Times New Roman" w:cs="Times New Roman"/>
          <w:b/>
          <w:bCs/>
          <w:sz w:val="24"/>
          <w:szCs w:val="24"/>
        </w:rPr>
        <w:t>Реанимация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9E6A85" w:rsidRPr="009E6A85">
        <w:rPr>
          <w:rFonts w:ascii="Times New Roman" w:hAnsi="Times New Roman"/>
          <w:bCs/>
          <w:sz w:val="24"/>
          <w:szCs w:val="24"/>
        </w:rPr>
        <w:t>31.08.02 «Анестезиология - реаниматология»</w:t>
      </w:r>
    </w:p>
    <w:p w:rsidR="009E6A85" w:rsidRDefault="004C1FF1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F17E1C">
        <w:rPr>
          <w:rFonts w:ascii="Times New Roman" w:hAnsi="Times New Roman"/>
          <w:b/>
          <w:sz w:val="24"/>
          <w:szCs w:val="24"/>
        </w:rPr>
        <w:t>«</w:t>
      </w:r>
      <w:r w:rsidR="001662DA" w:rsidRPr="001662DA">
        <w:rPr>
          <w:rFonts w:ascii="Times New Roman" w:hAnsi="Times New Roman"/>
          <w:b/>
          <w:bCs/>
          <w:sz w:val="24"/>
          <w:szCs w:val="24"/>
        </w:rPr>
        <w:t>Реанимация</w:t>
      </w:r>
      <w:r w:rsidR="00134766" w:rsidRPr="00F17E1C">
        <w:rPr>
          <w:rFonts w:ascii="Times New Roman" w:hAnsi="Times New Roman"/>
          <w:b/>
          <w:sz w:val="24"/>
          <w:szCs w:val="24"/>
        </w:rPr>
        <w:t>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7E1F3E" w:rsidRPr="005E1EEE">
        <w:rPr>
          <w:rFonts w:ascii="Times New Roman" w:hAnsi="Times New Roman"/>
          <w:sz w:val="24"/>
          <w:szCs w:val="24"/>
        </w:rPr>
        <w:t xml:space="preserve">формирование </w:t>
      </w:r>
      <w:r w:rsidR="009E6A85">
        <w:rPr>
          <w:rFonts w:ascii="Times New Roman" w:hAnsi="Times New Roman"/>
          <w:sz w:val="24"/>
          <w:szCs w:val="24"/>
        </w:rPr>
        <w:t xml:space="preserve">у ординаторов </w:t>
      </w:r>
      <w:r w:rsidR="009E6A85" w:rsidRPr="009E6A85">
        <w:rPr>
          <w:rFonts w:ascii="Times New Roman" w:hAnsi="Times New Roman"/>
          <w:sz w:val="24"/>
          <w:szCs w:val="24"/>
        </w:rPr>
        <w:t>систем</w:t>
      </w:r>
      <w:r w:rsidR="009E6A85">
        <w:rPr>
          <w:rFonts w:ascii="Times New Roman" w:hAnsi="Times New Roman"/>
          <w:sz w:val="24"/>
          <w:szCs w:val="24"/>
        </w:rPr>
        <w:t>ы</w:t>
      </w:r>
      <w:r w:rsidR="009E6A85" w:rsidRPr="009E6A85">
        <w:rPr>
          <w:rFonts w:ascii="Times New Roman" w:hAnsi="Times New Roman"/>
          <w:sz w:val="24"/>
          <w:szCs w:val="24"/>
        </w:rPr>
        <w:t xml:space="preserve"> универсальных и профессиональных компетенций в специализиров</w:t>
      </w:r>
      <w:r w:rsidR="009E6A85">
        <w:rPr>
          <w:rFonts w:ascii="Times New Roman" w:hAnsi="Times New Roman"/>
          <w:sz w:val="24"/>
          <w:szCs w:val="24"/>
        </w:rPr>
        <w:t>анной области «Анестезиология-</w:t>
      </w:r>
      <w:r w:rsidR="009E6A85" w:rsidRPr="009E6A85">
        <w:rPr>
          <w:rFonts w:ascii="Times New Roman" w:hAnsi="Times New Roman"/>
          <w:sz w:val="24"/>
          <w:szCs w:val="24"/>
        </w:rPr>
        <w:t>реаниматология»</w:t>
      </w:r>
      <w:r w:rsidR="009E6A85">
        <w:rPr>
          <w:rFonts w:ascii="Times New Roman" w:hAnsi="Times New Roman"/>
          <w:sz w:val="24"/>
          <w:szCs w:val="24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1662DA" w:rsidRPr="001662DA">
        <w:rPr>
          <w:rFonts w:ascii="Times New Roman" w:hAnsi="Times New Roman"/>
          <w:b/>
          <w:bCs/>
          <w:sz w:val="24"/>
          <w:szCs w:val="24"/>
        </w:rPr>
        <w:t>Реанимация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1662DA" w:rsidRPr="001662DA">
        <w:rPr>
          <w:rFonts w:ascii="Times New Roman" w:hAnsi="Times New Roman"/>
          <w:bCs/>
          <w:sz w:val="24"/>
          <w:szCs w:val="24"/>
        </w:rPr>
        <w:t>Реанимация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A02601" w:rsidRDefault="009E6A85" w:rsidP="009E6A85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A85">
        <w:rPr>
          <w:rFonts w:ascii="Times New Roman" w:hAnsi="Times New Roman"/>
          <w:b/>
          <w:sz w:val="24"/>
          <w:szCs w:val="24"/>
        </w:rPr>
        <w:t xml:space="preserve">универсальных </w:t>
      </w:r>
      <w:r>
        <w:rPr>
          <w:rFonts w:ascii="Times New Roman" w:hAnsi="Times New Roman"/>
          <w:b/>
          <w:sz w:val="24"/>
          <w:szCs w:val="24"/>
        </w:rPr>
        <w:t>(УК</w:t>
      </w:r>
      <w:r w:rsidR="007E1F3E" w:rsidRPr="00A02601">
        <w:rPr>
          <w:rFonts w:ascii="Times New Roman" w:hAnsi="Times New Roman"/>
          <w:b/>
          <w:sz w:val="24"/>
          <w:szCs w:val="24"/>
        </w:rPr>
        <w:t>)</w:t>
      </w:r>
      <w:r w:rsidR="007E1F3E" w:rsidRPr="00A02601"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</w:t>
      </w:r>
      <w:r w:rsidR="0095605D">
        <w:rPr>
          <w:color w:val="000000"/>
          <w:sz w:val="24"/>
          <w:szCs w:val="24"/>
          <w:lang w:bidi="ru-RU"/>
        </w:rPr>
        <w:t xml:space="preserve">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="007E1F3E" w:rsidRPr="00A02601">
        <w:rPr>
          <w:color w:val="000000"/>
          <w:sz w:val="24"/>
          <w:szCs w:val="24"/>
          <w:lang w:bidi="ru-RU"/>
        </w:rPr>
        <w:t>;</w:t>
      </w:r>
    </w:p>
    <w:p w:rsidR="009E6A85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УК-3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="007E1F3E" w:rsidRPr="00A02601">
        <w:rPr>
          <w:color w:val="000000"/>
          <w:sz w:val="24"/>
          <w:szCs w:val="24"/>
          <w:lang w:bidi="ru-RU"/>
        </w:rPr>
        <w:t>.</w:t>
      </w:r>
    </w:p>
    <w:p w:rsidR="007E1F3E" w:rsidRPr="00F17E1C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7E1F3E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65331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ПК-6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применению комплекса анестезиологических и (или) реанимационных мероприятий</w:t>
      </w:r>
      <w:r w:rsidR="007E1F3E"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ПК-7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оказанию медицинской помощи при чрезвычайных ситуациях, в том числе участию в медицинской эвакуации</w:t>
      </w:r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BE033C" w:rsidRDefault="009E6A85" w:rsidP="004A5BF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ПК-8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</w:t>
      </w:r>
      <w:r w:rsidR="00BE03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и;</w:t>
      </w:r>
    </w:p>
    <w:p w:rsidR="007E1F3E" w:rsidRPr="00A02601" w:rsidRDefault="00BE033C" w:rsidP="004A5BF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ПК-12 – </w:t>
      </w:r>
      <w:r w:rsidRPr="00BE03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организации медицинской помощи при чрезвыч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айных ситуациях, в том числе ме</w:t>
      </w:r>
      <w:r w:rsidRPr="00BE03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дицинской эвакуации</w:t>
      </w:r>
      <w:r w:rsidR="007E1F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1662DA" w:rsidRPr="001662DA">
        <w:rPr>
          <w:rFonts w:ascii="Times New Roman" w:hAnsi="Times New Roman" w:cs="Times New Roman"/>
          <w:bCs/>
          <w:sz w:val="24"/>
          <w:szCs w:val="24"/>
        </w:rPr>
        <w:t>Реанимация</w:t>
      </w:r>
      <w:r>
        <w:rPr>
          <w:rFonts w:ascii="Times New Roman" w:hAnsi="Times New Roman"/>
          <w:sz w:val="24"/>
          <w:szCs w:val="24"/>
        </w:rPr>
        <w:t xml:space="preserve">» </w:t>
      </w:r>
      <w:r w:rsidR="007D5CA3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Конституцию Российской Федерации, Законы и иные нормативные правовые акты Российской Федерации в сфере здравоохранения,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Российской Федерации в сфере защиты прав потребителей и санитарно-эпидемиологического благополучия населения,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Федерации, регулирующие вопросы оборота сильнодействующих, психотропных и наркотических средств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Общие принципы организации службы анестезиологии, реанимации и интенсивной терапии; нормативные правовые акты, регулирующие деятельность службы анестезиологии и реаниматологии; оснащение отделений,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Общие принципы организации службы анестезиологии, реанимации и интенсивной терапии; нормативные правовые акты, регулирующие деятельность службы анестезиологии и реаниматологии; оснащение отделений,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lastRenderedPageBreak/>
        <w:t>Основы трудового законодательства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Определение тактики ведения больного в соответствии с порядком (Приказ 919н МЗ РФ) и стандартом медицинской помощи.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Осуществление непрерывного контроля состояния больного.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Принципы оценки состояния и проведения неотложных мероприятий при различных заболеваниях, острых и критических состояниях различного генеза у взрослых и детей.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Принципы проведения неотложных мероприятий при различных заболеваниях, острых и критических состояниях различного генеза у взрослых и детей.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 xml:space="preserve">Осуществление контроля проводимой </w:t>
      </w:r>
      <w:proofErr w:type="spellStart"/>
      <w:r w:rsidRPr="00BE033C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BE033C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Проведение неотложных мероприятий при тяжелой акушерской патологии.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 xml:space="preserve">Проведение неотложных мероприятий при </w:t>
      </w:r>
      <w:proofErr w:type="spellStart"/>
      <w:r w:rsidRPr="00BE033C">
        <w:rPr>
          <w:rFonts w:ascii="Times New Roman" w:hAnsi="Times New Roman" w:cs="Times New Roman"/>
          <w:sz w:val="24"/>
          <w:szCs w:val="24"/>
        </w:rPr>
        <w:t>экламптических</w:t>
      </w:r>
      <w:proofErr w:type="spellEnd"/>
      <w:r w:rsidRPr="00BE033C">
        <w:rPr>
          <w:rFonts w:ascii="Times New Roman" w:hAnsi="Times New Roman" w:cs="Times New Roman"/>
          <w:sz w:val="24"/>
          <w:szCs w:val="24"/>
        </w:rPr>
        <w:t xml:space="preserve"> состояниях.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Проведение неотложных мероприятий при нефропатии.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Проведение неотложных мероприятий при акушерских кровотечениях.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Проведение неотложных мероприятий при экзогенных отравлениях.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Принципы оказания неотложной помощи и особенности проведения анестезии пациентов в условиях массового поступления пострадавших.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Проведение неотложных мероприятий при различных заболеваниях, острых и критических состояниях различного генеза у взрослых и детей.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Проведение неотложных мероприятий при радиационных поражениях.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>Проведение неотложных мероприятий при отравлениях (медикаментами, препаратами бытовой химии, угарным газом, ФОС, этанолом и др.).</w:t>
      </w:r>
    </w:p>
    <w:p w:rsidR="00BE033C" w:rsidRPr="00BE033C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 xml:space="preserve">Показания, </w:t>
      </w:r>
      <w:proofErr w:type="spellStart"/>
      <w:r w:rsidRPr="00BE033C">
        <w:rPr>
          <w:rFonts w:ascii="Times New Roman" w:hAnsi="Times New Roman" w:cs="Times New Roman"/>
          <w:sz w:val="24"/>
          <w:szCs w:val="24"/>
        </w:rPr>
        <w:t>проти-вопоказания</w:t>
      </w:r>
      <w:proofErr w:type="spellEnd"/>
      <w:r w:rsidRPr="00BE033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E033C">
        <w:rPr>
          <w:rFonts w:ascii="Times New Roman" w:hAnsi="Times New Roman" w:cs="Times New Roman"/>
          <w:sz w:val="24"/>
          <w:szCs w:val="24"/>
        </w:rPr>
        <w:t>современные  возможности</w:t>
      </w:r>
      <w:proofErr w:type="gramEnd"/>
      <w:r w:rsidRPr="00BE033C">
        <w:rPr>
          <w:rFonts w:ascii="Times New Roman" w:hAnsi="Times New Roman" w:cs="Times New Roman"/>
          <w:sz w:val="24"/>
          <w:szCs w:val="24"/>
        </w:rPr>
        <w:t xml:space="preserve"> использования природных лечебных факторов, лекарственной, немедикаментозной терапии и других методов у пациентов реанимационного профиля, нуждающихся в медицинской реабилитации и санаторно-курортном лечении.  </w:t>
      </w:r>
    </w:p>
    <w:p w:rsidR="00EF2BE8" w:rsidRPr="00EF2BE8" w:rsidRDefault="00BE033C" w:rsidP="00BE033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3C">
        <w:rPr>
          <w:rFonts w:ascii="Times New Roman" w:hAnsi="Times New Roman" w:cs="Times New Roman"/>
          <w:sz w:val="24"/>
          <w:szCs w:val="24"/>
        </w:rPr>
        <w:t xml:space="preserve">принципы оказания неотложной помощи и особенности проведения анестезии пациентов в условиях массового поступления </w:t>
      </w:r>
      <w:proofErr w:type="gramStart"/>
      <w:r w:rsidRPr="00BE033C">
        <w:rPr>
          <w:rFonts w:ascii="Times New Roman" w:hAnsi="Times New Roman" w:cs="Times New Roman"/>
          <w:sz w:val="24"/>
          <w:szCs w:val="24"/>
        </w:rPr>
        <w:t>пострадавших;</w:t>
      </w:r>
      <w:r w:rsidR="00EF2BE8" w:rsidRPr="00EF2B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2BE8" w:rsidRPr="00EF2B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заболеваниями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>Устанавливать взаимопонимание, направленное на эффективное оказание медицинской помощи пациентам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>Передать в доступной и полной форме имеющиеся знания по специальным дисциплинам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>Оценить состояние больного.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>Подготовить к работе и эксплуатации наркозно-дыхательную аппаратуру.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>Подготовить к работе и эксплуатации аппаратуру мониторного наблюдения, а также необходимые инструменты, расходные материалы и медикаменты.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>Провести коррекцию водно-электролитных нарушений и кислотно-щелочного состояния, нарушений свертывающей системы крови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 xml:space="preserve">Провести неотложные мероприятия при различных формах шока, при ожоговой травме, при тяжелой черепно-мозговой травме, при </w:t>
      </w:r>
      <w:proofErr w:type="spellStart"/>
      <w:r w:rsidRPr="00861614">
        <w:rPr>
          <w:rFonts w:ascii="Times New Roman" w:hAnsi="Times New Roman" w:cs="Times New Roman"/>
          <w:sz w:val="24"/>
          <w:szCs w:val="24"/>
        </w:rPr>
        <w:t>политравме</w:t>
      </w:r>
      <w:proofErr w:type="spellEnd"/>
      <w:r w:rsidRPr="00861614">
        <w:rPr>
          <w:rFonts w:ascii="Times New Roman" w:hAnsi="Times New Roman" w:cs="Times New Roman"/>
          <w:sz w:val="24"/>
          <w:szCs w:val="24"/>
        </w:rPr>
        <w:t>, при травме груди.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 xml:space="preserve">Провести неотложные мероприятий при осложненных формах инфаркта миокарда, при нарушениях сердечного ритма (с использованием </w:t>
      </w:r>
      <w:proofErr w:type="spellStart"/>
      <w:r w:rsidRPr="00861614">
        <w:rPr>
          <w:rFonts w:ascii="Times New Roman" w:hAnsi="Times New Roman" w:cs="Times New Roman"/>
          <w:sz w:val="24"/>
          <w:szCs w:val="24"/>
        </w:rPr>
        <w:t>электростимуляционной</w:t>
      </w:r>
      <w:proofErr w:type="spellEnd"/>
      <w:r w:rsidRPr="00861614">
        <w:rPr>
          <w:rFonts w:ascii="Times New Roman" w:hAnsi="Times New Roman" w:cs="Times New Roman"/>
          <w:sz w:val="24"/>
          <w:szCs w:val="24"/>
        </w:rPr>
        <w:t xml:space="preserve"> терапии и электроимпульсной терапии), при гипертоническом кризе.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>Провести неотложные мероприятия при комах неясной этиологии, при нарушениях функций жизненно важных систем организма.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>Провести неотложные мероприятия при столбняке, при холере, при ботулизме, при радиационных поражениях.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lastRenderedPageBreak/>
        <w:t xml:space="preserve">Провести неотложные мероприятия при: инфекционных заболеваниях у взрослых и детей, при </w:t>
      </w:r>
      <w:proofErr w:type="spellStart"/>
      <w:r w:rsidRPr="00861614">
        <w:rPr>
          <w:rFonts w:ascii="Times New Roman" w:hAnsi="Times New Roman" w:cs="Times New Roman"/>
          <w:sz w:val="24"/>
          <w:szCs w:val="24"/>
        </w:rPr>
        <w:t>феохромоцитомном</w:t>
      </w:r>
      <w:proofErr w:type="spellEnd"/>
      <w:r w:rsidRPr="00861614">
        <w:rPr>
          <w:rFonts w:ascii="Times New Roman" w:hAnsi="Times New Roman" w:cs="Times New Roman"/>
          <w:sz w:val="24"/>
          <w:szCs w:val="24"/>
        </w:rPr>
        <w:t xml:space="preserve"> кризе, недостаточности надпочечников, тиреотоксических кризах.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>Провести неотложные мероприятия при острых и критических состояниях различного генеза у взрослых и детей при чрезвычайных ситуациях, в том числе участию в медицинской эвакуации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>Осуществлять медицинскую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 xml:space="preserve">реабилитацию пациентам в критических состояниях  </w:t>
      </w:r>
    </w:p>
    <w:p w:rsidR="00BE033C" w:rsidRPr="00861614" w:rsidRDefault="00BE033C" w:rsidP="00861614">
      <w:pPr>
        <w:pStyle w:val="a8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614">
        <w:rPr>
          <w:rFonts w:ascii="Times New Roman" w:hAnsi="Times New Roman" w:cs="Times New Roman"/>
          <w:sz w:val="24"/>
          <w:szCs w:val="24"/>
        </w:rPr>
        <w:t xml:space="preserve">Проводит неотложные мероприятия при различных формах шока, ожоговой травме, тяжелой черепно-мозговой травме, </w:t>
      </w:r>
      <w:proofErr w:type="spellStart"/>
      <w:r w:rsidRPr="00861614">
        <w:rPr>
          <w:rFonts w:ascii="Times New Roman" w:hAnsi="Times New Roman" w:cs="Times New Roman"/>
          <w:sz w:val="24"/>
          <w:szCs w:val="24"/>
        </w:rPr>
        <w:t>политравме</w:t>
      </w:r>
      <w:proofErr w:type="spellEnd"/>
      <w:r w:rsidRPr="00861614">
        <w:rPr>
          <w:rFonts w:ascii="Times New Roman" w:hAnsi="Times New Roman" w:cs="Times New Roman"/>
          <w:sz w:val="24"/>
          <w:szCs w:val="24"/>
        </w:rPr>
        <w:t>, травме груди, комах неясной этиологии, отравлениях (медикаментами, препаратами бытовой химии, угарным газом, ФОС, этанолом и др.), радиационных поражениях, нарушениях функций жизненно важных систем организма.</w:t>
      </w:r>
    </w:p>
    <w:p w:rsidR="007E1F3E" w:rsidRPr="00F81A81" w:rsidRDefault="007E1F3E" w:rsidP="00BE03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Навыками информационного поиска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Навыками устного общения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Навыками работы со справочной литературой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Навыками координации и кооперации коллективной деятельности, направленной на излечение пациентов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Навыками педагогической деятельности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Принципами осуществления 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наблюдения за больными, проведения необходимого лечения до восстановления жизненно важных функций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Организацией проведения неотложных мероприятий при шоковых состояниях.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Современными методами обеспечения сосудистого доступа: катетеризации периферических и центральных вен. 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Владеть методами экстракорпоральной </w:t>
      </w:r>
      <w:proofErr w:type="spellStart"/>
      <w:r>
        <w:t>детоксикации</w:t>
      </w:r>
      <w:proofErr w:type="spellEnd"/>
      <w:r>
        <w:t>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proofErr w:type="gramStart"/>
      <w:r>
        <w:t>Комплексом  неотложных</w:t>
      </w:r>
      <w:proofErr w:type="gramEnd"/>
      <w:r>
        <w:t xml:space="preserve"> мероприятий при отравлениях (медикаментами, препаратами бытовой химии, угарным газом, ФОС, этанолом и др.).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bookmarkStart w:id="1" w:name="_GoBack"/>
      <w:bookmarkEnd w:id="1"/>
      <w:r>
        <w:t>Организацией проведения неотложных мероприятий при острых и критических состояниях различного генеза у взрослых и детей при чрезвычайных ситуациях, в том числе участию в медицинской эвакуации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Методологией проведения медицинской реабилитации у пациентов в критических состояниях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Непрямой массаж сердца.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Прямой массаж сердца.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ИВЛ мешком типа АМБУ через лицевую маску.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proofErr w:type="spellStart"/>
      <w:r>
        <w:t>Дефибрилляция</w:t>
      </w:r>
      <w:proofErr w:type="spellEnd"/>
      <w:r>
        <w:t>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proofErr w:type="spellStart"/>
      <w:r>
        <w:t>Кардиостимуляция</w:t>
      </w:r>
      <w:proofErr w:type="spellEnd"/>
      <w:r>
        <w:t>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Постановка </w:t>
      </w:r>
      <w:proofErr w:type="spellStart"/>
      <w:r>
        <w:t>оротрахеального</w:t>
      </w:r>
      <w:proofErr w:type="spellEnd"/>
      <w:r>
        <w:t xml:space="preserve"> воздуховода.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Постановка </w:t>
      </w:r>
      <w:proofErr w:type="spellStart"/>
      <w:r>
        <w:t>комбитьюба</w:t>
      </w:r>
      <w:proofErr w:type="spellEnd"/>
      <w:r>
        <w:t>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Постановка </w:t>
      </w:r>
      <w:proofErr w:type="spellStart"/>
      <w:r>
        <w:t>ларингеальной</w:t>
      </w:r>
      <w:proofErr w:type="spellEnd"/>
      <w:r>
        <w:t xml:space="preserve"> маски.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proofErr w:type="spellStart"/>
      <w:r>
        <w:t>Оротрахеальная</w:t>
      </w:r>
      <w:proofErr w:type="spellEnd"/>
      <w:r>
        <w:t xml:space="preserve"> интубация трахеи.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proofErr w:type="spellStart"/>
      <w:r>
        <w:t>Коникотомия</w:t>
      </w:r>
      <w:proofErr w:type="spellEnd"/>
      <w:r>
        <w:t xml:space="preserve">. </w:t>
      </w:r>
      <w:proofErr w:type="spellStart"/>
      <w:r>
        <w:t>Трахеостомия</w:t>
      </w:r>
      <w:proofErr w:type="spellEnd"/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Катетеризация периферической вены.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Катетеризация подключичной вены.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Катетеризация внутренней яремной вены.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Катетеризация бедренной вены.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lastRenderedPageBreak/>
        <w:t xml:space="preserve"> Катетеризация магистральных артерий.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Пункция магистральных артерий.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ЭКГ.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proofErr w:type="spellStart"/>
      <w:r>
        <w:t>Пульсоксиметрия</w:t>
      </w:r>
      <w:proofErr w:type="spellEnd"/>
      <w:r>
        <w:t>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 Измерение ЦВД.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proofErr w:type="spellStart"/>
      <w:r>
        <w:t>Капнометрия</w:t>
      </w:r>
      <w:proofErr w:type="spellEnd"/>
      <w:r>
        <w:t>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Определение анестезиолого-операционного риска (</w:t>
      </w:r>
      <w:proofErr w:type="spellStart"/>
      <w:r>
        <w:t>ASAи</w:t>
      </w:r>
      <w:proofErr w:type="spellEnd"/>
      <w:r>
        <w:t xml:space="preserve"> др.).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Прогнозирование тяжести состояния реанимационного больного (SAPS, APACHE).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Оценка неврологического статуса больного (Шкала ком Глазго).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Проведение ингаляционной анестезии.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Проведение тотальной внутривенной анестезии.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Проведение спинальной анестезии.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Проведение </w:t>
      </w:r>
      <w:proofErr w:type="spellStart"/>
      <w:r>
        <w:t>эпидуральной</w:t>
      </w:r>
      <w:proofErr w:type="spellEnd"/>
      <w:r>
        <w:t xml:space="preserve"> анестезии.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Проводниковая анестезия.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Катетеризация мочевого пузыря.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Пункция плеврального пространства.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Зондирование желудка.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Проведение форсированного диуреза.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Промывание желудка.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Определение группы крови по системе АВ0.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Определение индивидуальной совместимости крови донора и реципиента.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Проведение биологической пробы.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Проведение </w:t>
      </w:r>
      <w:proofErr w:type="spellStart"/>
      <w:r>
        <w:t>инфузионно-трансфузионной</w:t>
      </w:r>
      <w:proofErr w:type="spellEnd"/>
      <w:r>
        <w:t xml:space="preserve"> терапии.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Проведение искусственной и вспомогательной вентиляции легких.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Проведение </w:t>
      </w:r>
      <w:proofErr w:type="spellStart"/>
      <w:r>
        <w:t>энтерального</w:t>
      </w:r>
      <w:proofErr w:type="spellEnd"/>
      <w:r>
        <w:t xml:space="preserve"> питания.</w:t>
      </w:r>
    </w:p>
    <w:p w:rsidR="00BE033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>Проведение парентерального питания.</w:t>
      </w:r>
    </w:p>
    <w:p w:rsidR="007D5CA3" w:rsidRPr="0030437C" w:rsidRDefault="00BE033C" w:rsidP="00BE033C">
      <w:pPr>
        <w:pStyle w:val="a7"/>
        <w:numPr>
          <w:ilvl w:val="0"/>
          <w:numId w:val="12"/>
        </w:numPr>
        <w:spacing w:line="240" w:lineRule="auto"/>
      </w:pPr>
      <w:r>
        <w:t xml:space="preserve">Дозированное введение медикаментов с помощью </w:t>
      </w:r>
      <w:proofErr w:type="spellStart"/>
      <w:r>
        <w:t>перфузоров</w:t>
      </w:r>
      <w:proofErr w:type="spellEnd"/>
      <w:r>
        <w:t xml:space="preserve">, </w:t>
      </w:r>
      <w:proofErr w:type="spellStart"/>
      <w:r>
        <w:t>экзадропов</w:t>
      </w:r>
      <w:proofErr w:type="spellEnd"/>
      <w:r>
        <w:t xml:space="preserve">, </w:t>
      </w:r>
      <w:proofErr w:type="spellStart"/>
      <w:proofErr w:type="gramStart"/>
      <w:r>
        <w:t>инфузоматов</w:t>
      </w:r>
      <w:proofErr w:type="spellEnd"/>
      <w:r>
        <w:t>.</w:t>
      </w:r>
      <w:r w:rsidR="00A1346E" w:rsidRPr="0030437C">
        <w:t>.</w:t>
      </w:r>
      <w:proofErr w:type="gramEnd"/>
    </w:p>
    <w:p w:rsidR="006077AC" w:rsidRPr="0030437C" w:rsidRDefault="006077AC" w:rsidP="001662DA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jc w:val="both"/>
        <w:outlineLvl w:val="9"/>
        <w:rPr>
          <w:rFonts w:cs="Times New Roman"/>
          <w:sz w:val="24"/>
          <w:szCs w:val="24"/>
        </w:rPr>
      </w:pPr>
      <w:r w:rsidRPr="0030437C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1662DA" w:rsidRPr="001662DA">
        <w:rPr>
          <w:rFonts w:cs="Times New Roman"/>
          <w:color w:val="000000"/>
          <w:sz w:val="24"/>
          <w:szCs w:val="24"/>
          <w:lang w:bidi="ru-RU"/>
        </w:rPr>
        <w:t>Реанимация</w:t>
      </w:r>
      <w:r w:rsidRPr="0030437C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6077AC" w:rsidRPr="0030437C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="001662DA" w:rsidRPr="001662DA">
        <w:rPr>
          <w:rFonts w:cs="Times New Roman"/>
          <w:b w:val="0"/>
          <w:color w:val="000000"/>
          <w:sz w:val="24"/>
          <w:szCs w:val="24"/>
          <w:lang w:bidi="ru-RU"/>
        </w:rPr>
        <w:t>Реанимация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» Б</w:t>
      </w:r>
      <w:r w:rsidR="00BE033C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BE033C">
        <w:rPr>
          <w:rFonts w:cs="Times New Roman"/>
          <w:b w:val="0"/>
          <w:color w:val="000000"/>
          <w:sz w:val="24"/>
          <w:szCs w:val="24"/>
          <w:lang w:bidi="ru-RU"/>
        </w:rPr>
        <w:t>3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 относится к </w:t>
      </w:r>
      <w:r w:rsidR="0030437C" w:rsidRPr="0030437C">
        <w:rPr>
          <w:rFonts w:cs="Times New Roman"/>
          <w:b w:val="0"/>
          <w:color w:val="000000"/>
          <w:sz w:val="24"/>
          <w:szCs w:val="24"/>
          <w:lang w:bidi="ru-RU"/>
        </w:rPr>
        <w:t>базовой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 части Б</w:t>
      </w:r>
      <w:r w:rsidR="00BE033C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, </w:t>
      </w:r>
      <w:r w:rsidR="00BE033C">
        <w:rPr>
          <w:rFonts w:cs="Times New Roman"/>
          <w:b w:val="0"/>
          <w:color w:val="000000"/>
          <w:sz w:val="24"/>
          <w:szCs w:val="24"/>
          <w:lang w:bidi="ru-RU"/>
        </w:rPr>
        <w:t>практика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 Б</w:t>
      </w:r>
      <w:r w:rsidR="00BE033C">
        <w:rPr>
          <w:rFonts w:cs="Times New Roman"/>
          <w:b w:val="0"/>
          <w:color w:val="000000"/>
          <w:sz w:val="24"/>
          <w:szCs w:val="24"/>
          <w:lang w:bidi="ru-RU"/>
        </w:rPr>
        <w:t>2.3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,</w:t>
      </w:r>
      <w:r w:rsidRPr="0030437C">
        <w:rPr>
          <w:rFonts w:cs="Times New Roman"/>
          <w:b w:val="0"/>
          <w:sz w:val="24"/>
          <w:szCs w:val="24"/>
        </w:rPr>
        <w:t xml:space="preserve"> является обязательной для изучения.</w:t>
      </w:r>
      <w:r w:rsidR="0069680B">
        <w:rPr>
          <w:rFonts w:cs="Times New Roman"/>
          <w:b w:val="0"/>
          <w:sz w:val="24"/>
          <w:szCs w:val="24"/>
        </w:rPr>
        <w:t xml:space="preserve"> </w:t>
      </w:r>
    </w:p>
    <w:p w:rsidR="006077AC" w:rsidRPr="0030437C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30437C">
        <w:rPr>
          <w:b/>
        </w:rPr>
        <w:t>Общая трудоемкость дисциплины:</w:t>
      </w:r>
    </w:p>
    <w:p w:rsidR="007E1F3E" w:rsidRPr="00C57E98" w:rsidRDefault="00BE033C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33</w:t>
      </w:r>
      <w:r w:rsidR="006077AC" w:rsidRPr="00C57E98">
        <w:t xml:space="preserve"> зачетны</w:t>
      </w:r>
      <w:r w:rsidR="00A1346E">
        <w:t>х</w:t>
      </w:r>
      <w:r w:rsidR="006077AC" w:rsidRPr="00C57E98">
        <w:t xml:space="preserve"> единицы </w:t>
      </w:r>
      <w:r w:rsidR="00C57E98">
        <w:t>(</w:t>
      </w:r>
      <w:r>
        <w:t>1188</w:t>
      </w:r>
      <w:r w:rsidR="006077AC" w:rsidRPr="00C57E98">
        <w:t xml:space="preserve"> час</w:t>
      </w:r>
      <w:r w:rsidR="00C57E98">
        <w:t xml:space="preserve">а), из них аудиторных </w:t>
      </w:r>
      <w:r>
        <w:t>792</w:t>
      </w:r>
      <w:r w:rsidR="00C57E98">
        <w:t xml:space="preserve"> часов.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E033C" w:rsidRPr="00A84DF4" w:rsidTr="001B53DF">
        <w:tc>
          <w:tcPr>
            <w:tcW w:w="426" w:type="dxa"/>
          </w:tcPr>
          <w:p w:rsidR="00BE033C" w:rsidRPr="00A84DF4" w:rsidRDefault="00BE033C" w:rsidP="00BE033C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3C" w:rsidRPr="00BE033C" w:rsidRDefault="00BE033C" w:rsidP="00BE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3C">
              <w:rPr>
                <w:rFonts w:ascii="Times New Roman" w:hAnsi="Times New Roman" w:cs="Times New Roman"/>
                <w:sz w:val="24"/>
                <w:szCs w:val="24"/>
              </w:rPr>
              <w:t>УК-1, УК-2, УК-3, ПК-5, ПК-6, ПК-7, ПК-8, ПК-12</w:t>
            </w:r>
          </w:p>
        </w:tc>
        <w:tc>
          <w:tcPr>
            <w:tcW w:w="2580" w:type="dxa"/>
          </w:tcPr>
          <w:p w:rsidR="00BE033C" w:rsidRPr="00BE033C" w:rsidRDefault="00BE033C" w:rsidP="00BE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3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5074" w:type="dxa"/>
          </w:tcPr>
          <w:p w:rsidR="00BE033C" w:rsidRPr="00A84DF4" w:rsidRDefault="00BE033C" w:rsidP="00BE033C">
            <w:pPr>
              <w:widowControl w:val="0"/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740" w:rsidRPr="005733B6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3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Виды самостоятельной работы студентов:</w:t>
      </w:r>
    </w:p>
    <w:p w:rsidR="0084006D" w:rsidRPr="0084006D" w:rsidRDefault="0084006D" w:rsidP="0084006D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6D">
        <w:rPr>
          <w:rFonts w:ascii="Times New Roman" w:hAnsi="Times New Roman" w:cs="Times New Roman"/>
          <w:bCs/>
          <w:sz w:val="24"/>
          <w:szCs w:val="24"/>
        </w:rPr>
        <w:t>Подготовка к текущему контролю (ПТК)</w:t>
      </w:r>
    </w:p>
    <w:p w:rsidR="00A06740" w:rsidRPr="008F6D02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8F6D02">
        <w:rPr>
          <w:rFonts w:ascii="Times New Roman" w:hAnsi="Times New Roman"/>
          <w:b/>
          <w:sz w:val="24"/>
          <w:szCs w:val="24"/>
        </w:rPr>
        <w:t>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Используемые образовательные технологии при изучении данной дисциплины: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 xml:space="preserve">Имитационные технологии: 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1. ролевые и деловые игры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3.</w:t>
      </w:r>
      <w:r w:rsidRPr="005733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разбор клинических случаев (ситуационные задачи, конкретные примеры из историй болезни)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3B6">
        <w:rPr>
          <w:rFonts w:ascii="Times New Roman" w:hAnsi="Times New Roman"/>
          <w:sz w:val="24"/>
          <w:szCs w:val="24"/>
        </w:rPr>
        <w:t>Неимитационные</w:t>
      </w:r>
      <w:proofErr w:type="spellEnd"/>
      <w:r w:rsidRPr="005733B6">
        <w:rPr>
          <w:rFonts w:ascii="Times New Roman" w:hAnsi="Times New Roman"/>
          <w:sz w:val="24"/>
          <w:szCs w:val="24"/>
        </w:rPr>
        <w:t xml:space="preserve"> технологии: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дискуссия</w:t>
      </w:r>
    </w:p>
    <w:p w:rsidR="00BE033C" w:rsidRDefault="00BE033C" w:rsidP="00BE033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733B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6B4">
        <w:rPr>
          <w:rFonts w:ascii="Times New Roman" w:hAnsi="Times New Roman"/>
          <w:sz w:val="24"/>
          <w:szCs w:val="24"/>
        </w:rPr>
        <w:t>участие в проведении комплекса лечебно-диагностических мероприятий</w:t>
      </w:r>
    </w:p>
    <w:p w:rsidR="006D2BBE" w:rsidRPr="004C1FF1" w:rsidRDefault="0084006D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894958" w:rsidRPr="00894958" w:rsidRDefault="00894958" w:rsidP="00894958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58">
        <w:rPr>
          <w:rFonts w:ascii="Times New Roman" w:hAnsi="Times New Roman" w:cs="Times New Roman"/>
          <w:sz w:val="24"/>
          <w:szCs w:val="24"/>
        </w:rPr>
        <w:t>Опрос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894958" w:rsidRDefault="00B45BFB" w:rsidP="0089495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958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894958" w:rsidRPr="00894958">
        <w:rPr>
          <w:rFonts w:ascii="Times New Roman" w:hAnsi="Times New Roman" w:cs="Times New Roman"/>
          <w:bCs/>
          <w:sz w:val="24"/>
          <w:szCs w:val="24"/>
        </w:rPr>
        <w:t>Заболотских</w:t>
      </w:r>
      <w:proofErr w:type="spellEnd"/>
      <w:r w:rsidR="00894958" w:rsidRPr="00894958">
        <w:rPr>
          <w:rFonts w:ascii="Times New Roman" w:hAnsi="Times New Roman" w:cs="Times New Roman"/>
          <w:bCs/>
          <w:sz w:val="24"/>
          <w:szCs w:val="24"/>
        </w:rPr>
        <w:t xml:space="preserve"> И.Б., Малышев Ю.П., </w:t>
      </w:r>
      <w:r w:rsidR="00BE033C">
        <w:rPr>
          <w:rFonts w:ascii="Times New Roman" w:hAnsi="Times New Roman" w:cs="Times New Roman"/>
          <w:bCs/>
          <w:sz w:val="24"/>
          <w:szCs w:val="24"/>
        </w:rPr>
        <w:t>Григорьев С.В.</w:t>
      </w:r>
    </w:p>
    <w:sectPr w:rsidR="00B45BFB" w:rsidRPr="00894958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1A" w:rsidRDefault="00B4511A" w:rsidP="003125CC">
      <w:pPr>
        <w:spacing w:after="0" w:line="240" w:lineRule="auto"/>
      </w:pPr>
      <w:r>
        <w:separator/>
      </w:r>
    </w:p>
  </w:endnote>
  <w:endnote w:type="continuationSeparator" w:id="0">
    <w:p w:rsidR="00B4511A" w:rsidRDefault="00B4511A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1A" w:rsidRDefault="00B4511A" w:rsidP="003125CC">
      <w:pPr>
        <w:spacing w:after="0" w:line="240" w:lineRule="auto"/>
      </w:pPr>
      <w:r>
        <w:separator/>
      </w:r>
    </w:p>
  </w:footnote>
  <w:footnote w:type="continuationSeparator" w:id="0">
    <w:p w:rsidR="00B4511A" w:rsidRDefault="00B4511A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4804"/>
      <w:docPartObj>
        <w:docPartGallery w:val="Page Numbers (Top of Page)"/>
        <w:docPartUnique/>
      </w:docPartObj>
    </w:sdtPr>
    <w:sdtEndPr/>
    <w:sdtContent>
      <w:p w:rsidR="0030437C" w:rsidRDefault="003043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614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7C" w:rsidRDefault="0030437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6DBF"/>
    <w:multiLevelType w:val="hybridMultilevel"/>
    <w:tmpl w:val="2CF29956"/>
    <w:lvl w:ilvl="0" w:tplc="E5F6A124">
      <w:numFmt w:val="bullet"/>
      <w:lvlText w:val="-"/>
      <w:lvlJc w:val="left"/>
      <w:pPr>
        <w:ind w:left="1429" w:hanging="360"/>
      </w:pPr>
      <w:rPr>
        <w:rFonts w:ascii="Arial" w:eastAsia="Wingdings" w:hAnsi="Arial" w:hint="default"/>
        <w:b w:val="0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BF1357"/>
    <w:multiLevelType w:val="hybridMultilevel"/>
    <w:tmpl w:val="600C3D9E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7" w15:restartNumberingAfterBreak="0">
    <w:nsid w:val="5AAD788E"/>
    <w:multiLevelType w:val="hybridMultilevel"/>
    <w:tmpl w:val="5330AE04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82EE5"/>
    <w:multiLevelType w:val="hybridMultilevel"/>
    <w:tmpl w:val="62DE780C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15BA1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E4"/>
    <w:rsid w:val="00032733"/>
    <w:rsid w:val="001317E5"/>
    <w:rsid w:val="00134766"/>
    <w:rsid w:val="001662DA"/>
    <w:rsid w:val="00184652"/>
    <w:rsid w:val="001B53DF"/>
    <w:rsid w:val="00221912"/>
    <w:rsid w:val="00271BD4"/>
    <w:rsid w:val="002C3665"/>
    <w:rsid w:val="0030437C"/>
    <w:rsid w:val="003106A1"/>
    <w:rsid w:val="003125CC"/>
    <w:rsid w:val="003448CB"/>
    <w:rsid w:val="003D4105"/>
    <w:rsid w:val="004A5BF0"/>
    <w:rsid w:val="004C1FF1"/>
    <w:rsid w:val="005733B6"/>
    <w:rsid w:val="00577287"/>
    <w:rsid w:val="006077AC"/>
    <w:rsid w:val="00633BB4"/>
    <w:rsid w:val="0069680B"/>
    <w:rsid w:val="006C30E4"/>
    <w:rsid w:val="006D2BBE"/>
    <w:rsid w:val="006E7FFE"/>
    <w:rsid w:val="007A45E9"/>
    <w:rsid w:val="007D5CA3"/>
    <w:rsid w:val="007E1F3E"/>
    <w:rsid w:val="0084006D"/>
    <w:rsid w:val="00861614"/>
    <w:rsid w:val="00894958"/>
    <w:rsid w:val="008E5B49"/>
    <w:rsid w:val="008F6D02"/>
    <w:rsid w:val="0095605D"/>
    <w:rsid w:val="00972F1B"/>
    <w:rsid w:val="009E6A85"/>
    <w:rsid w:val="009F6706"/>
    <w:rsid w:val="00A06740"/>
    <w:rsid w:val="00A07212"/>
    <w:rsid w:val="00A1346E"/>
    <w:rsid w:val="00A41E50"/>
    <w:rsid w:val="00A84DF4"/>
    <w:rsid w:val="00A85B05"/>
    <w:rsid w:val="00A90E98"/>
    <w:rsid w:val="00AA03B7"/>
    <w:rsid w:val="00B4511A"/>
    <w:rsid w:val="00B45BFB"/>
    <w:rsid w:val="00BE033C"/>
    <w:rsid w:val="00BE248A"/>
    <w:rsid w:val="00BF3F35"/>
    <w:rsid w:val="00C57E98"/>
    <w:rsid w:val="00E0063A"/>
    <w:rsid w:val="00E14BA5"/>
    <w:rsid w:val="00E836C4"/>
    <w:rsid w:val="00E87F18"/>
    <w:rsid w:val="00E96E4E"/>
    <w:rsid w:val="00EF2BE8"/>
    <w:rsid w:val="00F21303"/>
    <w:rsid w:val="00F7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038F-CD35-46AF-9C2A-0DF80CF0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1D13-2919-48E2-81F8-7A13BF5F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Sergey</cp:lastModifiedBy>
  <cp:revision>5</cp:revision>
  <dcterms:created xsi:type="dcterms:W3CDTF">2018-09-10T12:39:00Z</dcterms:created>
  <dcterms:modified xsi:type="dcterms:W3CDTF">2018-09-10T12:51:00Z</dcterms:modified>
</cp:coreProperties>
</file>