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9A1B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A1B52" w:rsidRPr="009A1B52">
        <w:rPr>
          <w:rFonts w:ascii="Times New Roman" w:hAnsi="Times New Roman"/>
          <w:b/>
          <w:sz w:val="24"/>
          <w:szCs w:val="24"/>
        </w:rPr>
        <w:t>Общая и частная психиатрия-наркология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A1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9A1B52" w:rsidRPr="009A1B52">
        <w:rPr>
          <w:rFonts w:ascii="Times New Roman" w:hAnsi="Times New Roman"/>
          <w:bCs/>
          <w:sz w:val="24"/>
          <w:szCs w:val="24"/>
        </w:rPr>
        <w:t>31.08.21 Психиатрия-наркология</w:t>
      </w:r>
      <w:r w:rsidR="009A1B52" w:rsidRPr="009A1B52">
        <w:rPr>
          <w:rFonts w:ascii="Calibri" w:eastAsia="Times New Roman" w:hAnsi="Calibri" w:cs="Times New Roman"/>
          <w:lang w:eastAsia="ru-RU"/>
        </w:rPr>
        <w:t xml:space="preserve"> </w:t>
      </w:r>
    </w:p>
    <w:p w:rsidR="0031633B" w:rsidRDefault="0031633B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E77AA" w:rsidRPr="000E77AA" w:rsidRDefault="0031633B" w:rsidP="00746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0E77AA">
        <w:rPr>
          <w:rFonts w:ascii="Times New Roman" w:hAnsi="Times New Roman"/>
          <w:b/>
          <w:sz w:val="24"/>
          <w:szCs w:val="24"/>
        </w:rPr>
        <w:t>Цель дисциплины</w:t>
      </w:r>
      <w:r w:rsidR="00134766" w:rsidRPr="000E77AA">
        <w:rPr>
          <w:rFonts w:ascii="Times New Roman" w:hAnsi="Times New Roman"/>
          <w:b/>
          <w:sz w:val="24"/>
          <w:szCs w:val="24"/>
        </w:rPr>
        <w:t xml:space="preserve"> «</w:t>
      </w:r>
      <w:r w:rsidR="009A1B52" w:rsidRPr="000E7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 частная психиатрия-наркология</w:t>
      </w:r>
      <w:r w:rsidR="00134766" w:rsidRPr="000E77AA">
        <w:rPr>
          <w:rFonts w:ascii="Times New Roman" w:hAnsi="Times New Roman"/>
          <w:b/>
          <w:sz w:val="24"/>
          <w:szCs w:val="24"/>
        </w:rPr>
        <w:t>»</w:t>
      </w:r>
      <w:r w:rsidR="007E1F3E" w:rsidRPr="000E77AA">
        <w:rPr>
          <w:rFonts w:ascii="Times New Roman" w:hAnsi="Times New Roman"/>
          <w:sz w:val="24"/>
          <w:szCs w:val="24"/>
        </w:rPr>
        <w:t>:</w:t>
      </w:r>
      <w:r w:rsidR="000E77AA" w:rsidRP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59" w:rsidRPr="000E77AA">
        <w:rPr>
          <w:rFonts w:ascii="Times New Roman" w:hAnsi="Times New Roman"/>
          <w:sz w:val="24"/>
          <w:szCs w:val="24"/>
        </w:rPr>
        <w:t xml:space="preserve">формирование </w:t>
      </w:r>
      <w:r w:rsidR="00746F59" w:rsidRPr="000E77AA">
        <w:rPr>
          <w:rFonts w:ascii="Times New Roman" w:hAnsi="Times New Roman"/>
          <w:bCs/>
          <w:sz w:val="24"/>
          <w:szCs w:val="24"/>
        </w:rPr>
        <w:t xml:space="preserve">у </w:t>
      </w:r>
      <w:r w:rsidR="00746F59">
        <w:rPr>
          <w:rFonts w:ascii="Times New Roman" w:hAnsi="Times New Roman"/>
          <w:bCs/>
          <w:sz w:val="24"/>
          <w:szCs w:val="24"/>
        </w:rPr>
        <w:t>ординаторов</w:t>
      </w:r>
      <w:r w:rsidR="00746F59" w:rsidRPr="000E77AA">
        <w:rPr>
          <w:rFonts w:ascii="Times New Roman" w:hAnsi="Times New Roman"/>
          <w:bCs/>
          <w:sz w:val="24"/>
          <w:szCs w:val="24"/>
        </w:rPr>
        <w:t xml:space="preserve"> системного естественнонаучного мировоззрения, </w:t>
      </w:r>
      <w:r w:rsidR="00746F59" w:rsidRPr="000E77AA">
        <w:rPr>
          <w:rFonts w:ascii="Times New Roman" w:hAnsi="Times New Roman"/>
          <w:sz w:val="24"/>
          <w:szCs w:val="24"/>
        </w:rPr>
        <w:t xml:space="preserve">теоретических знаний в </w:t>
      </w:r>
      <w:r w:rsidR="00746F59">
        <w:rPr>
          <w:rFonts w:ascii="Times New Roman" w:hAnsi="Times New Roman"/>
          <w:sz w:val="24"/>
          <w:szCs w:val="24"/>
        </w:rPr>
        <w:t xml:space="preserve">области </w:t>
      </w:r>
      <w:r w:rsidR="00746F59" w:rsidRP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психиатрической и наркологической помощи пац</w:t>
      </w:r>
      <w:r w:rsid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6F59" w:rsidRP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ентам с психическими и поведенческими расстройствами, обусловленными употреблением психоактивных веществ</w:t>
      </w:r>
      <w:r w:rsidR="00746F59">
        <w:rPr>
          <w:rFonts w:ascii="Times New Roman" w:hAnsi="Times New Roman"/>
          <w:sz w:val="24"/>
          <w:szCs w:val="24"/>
        </w:rPr>
        <w:t xml:space="preserve">; </w:t>
      </w:r>
      <w:r w:rsidR="000E77AA" w:rsidRPr="000E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проведению диагностики психическими и поведенческими расстройствами, обусловленными употреблением психоактивных веществ;</w:t>
      </w:r>
      <w:r w:rsid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7AA" w:rsidRPr="000E7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реабилитационных и профилактических мероприятий среди пациентов с психическими и поведенческими расстройствами, обусловленными употреблением психоактивных веществ;</w:t>
      </w:r>
      <w:r w:rsid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7AA" w:rsidRPr="000E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0E77AA" w:rsidRPr="000E7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 w:rsidR="000E77AA" w:rsidRPr="000E77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  <w:r w:rsid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7AA" w:rsidRPr="000E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746F59" w:rsidRPr="000E7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59" w:rsidRPr="000E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схем лечения,</w:t>
      </w:r>
      <w:r w:rsidR="000E77AA" w:rsidRPr="000E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встречающихся психическими и поведенческими расстройствами, обусловленными употреблением психоактивных веществ;</w:t>
      </w:r>
      <w:r w:rsidR="0074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7AA" w:rsidRPr="000E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оформлению медицинской документации; изучение принципов организации и работы лечебно-профилактических учреждений различного типа.</w:t>
      </w:r>
    </w:p>
    <w:p w:rsidR="0031633B" w:rsidRDefault="0031633B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3"/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746F59" w:rsidRPr="000E7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 частная психиатрия-наркология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220C11"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 частная психиатрия-наркология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E367CD" w:rsidRDefault="00E367CD" w:rsidP="00E367CD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6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универсальных (УК)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E1F3E" w:rsidRPr="00E367CD" w:rsidRDefault="00E367CD" w:rsidP="00E367CD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E367CD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- </w:t>
      </w:r>
      <w:r w:rsidRPr="00E367CD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="007E1F3E" w:rsidRPr="00A02601">
        <w:rPr>
          <w:color w:val="000000"/>
          <w:sz w:val="24"/>
          <w:szCs w:val="24"/>
          <w:lang w:bidi="ru-RU"/>
        </w:rPr>
        <w:t>;</w:t>
      </w:r>
    </w:p>
    <w:p w:rsidR="00E367CD" w:rsidRDefault="00E367CD" w:rsidP="00E367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67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УК-2 - 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  <w:r w:rsidRPr="00E367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367CD" w:rsidRPr="00290101" w:rsidRDefault="00E367CD" w:rsidP="0029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1" w:name="_Hlk524289639"/>
      <w:r w:rsidRPr="00E367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УК-3 -</w:t>
      </w:r>
      <w:r>
        <w:rPr>
          <w:rFonts w:ascii="Calibri" w:eastAsia="Times New Roman" w:hAnsi="Calibri" w:cs="Times New Roman"/>
          <w:color w:val="000000"/>
          <w:lang w:val="ru" w:eastAsia="ru-RU"/>
        </w:rPr>
        <w:t xml:space="preserve"> </w:t>
      </w:r>
      <w:r w:rsidRPr="00E367CD">
        <w:rPr>
          <w:rFonts w:ascii="Times New Roman" w:eastAsia="Times New Roman" w:hAnsi="Times New Roman" w:cs="Times New Roman"/>
          <w:color w:val="000000"/>
          <w:lang w:val="ru" w:eastAsia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rFonts w:ascii="Times New Roman" w:eastAsia="Times New Roman" w:hAnsi="Times New Roman" w:cs="Times New Roman"/>
          <w:color w:val="000000"/>
          <w:lang w:val="ru" w:eastAsia="ru-RU"/>
        </w:rPr>
        <w:t>;</w:t>
      </w:r>
      <w:bookmarkEnd w:id="1"/>
      <w:r w:rsidRPr="00E367CD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</w:p>
    <w:p w:rsidR="007E1F3E" w:rsidRPr="00E367CD" w:rsidRDefault="00E367CD" w:rsidP="00E367CD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367CD">
        <w:rPr>
          <w:rFonts w:ascii="Times New Roman" w:hAnsi="Times New Roman"/>
          <w:b/>
          <w:sz w:val="24"/>
          <w:szCs w:val="24"/>
        </w:rPr>
        <w:t>профессиональных компетенций (ПК):</w:t>
      </w:r>
    </w:p>
    <w:p w:rsidR="00E367CD" w:rsidRPr="00E367CD" w:rsidRDefault="00E367CD" w:rsidP="00E367CD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2" w:name="_Hlk524289683"/>
      <w:r w:rsidRPr="00E367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E367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  <w:r w:rsidRPr="00E367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8E4F20" w:rsidRPr="008E4F20" w:rsidRDefault="008E4F20" w:rsidP="008E4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 w:bidi="he-IL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ПК-2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8E4F20">
        <w:rPr>
          <w:rFonts w:ascii="Times New Roman" w:eastAsia="Times New Roman" w:hAnsi="Times New Roman" w:cs="Times New Roman"/>
          <w:lang w:eastAsia="ru-RU" w:bidi="he-IL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  <w:r>
        <w:rPr>
          <w:rFonts w:ascii="Times New Roman" w:eastAsia="Times New Roman" w:hAnsi="Times New Roman" w:cs="Times New Roman"/>
          <w:lang w:eastAsia="ru-RU" w:bidi="he-IL"/>
        </w:rPr>
        <w:t>;</w:t>
      </w:r>
      <w:r w:rsidRPr="008E4F20">
        <w:rPr>
          <w:rFonts w:ascii="Times New Roman" w:eastAsia="Times New Roman" w:hAnsi="Times New Roman" w:cs="Times New Roman"/>
          <w:lang w:eastAsia="ru-RU" w:bidi="he-IL"/>
        </w:rPr>
        <w:t xml:space="preserve"> </w:t>
      </w:r>
    </w:p>
    <w:p w:rsidR="008E4F20" w:rsidRPr="008E4F20" w:rsidRDefault="008E4F20" w:rsidP="008E4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ПК-3 -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 </w:t>
      </w:r>
    </w:p>
    <w:p w:rsidR="008E4F20" w:rsidRPr="008E4F20" w:rsidRDefault="008E4F20" w:rsidP="008E4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ПК-4 -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bookmarkEnd w:id="2"/>
    <w:p w:rsidR="008E4F20" w:rsidRPr="008E4F20" w:rsidRDefault="008E4F20" w:rsidP="008E4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</w:t>
      </w: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тистической классификацией болезней и проблем, связанных со здоровьем; </w:t>
      </w:r>
    </w:p>
    <w:p w:rsidR="008E4F20" w:rsidRPr="008E4F20" w:rsidRDefault="008E4F20" w:rsidP="008E4F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ПК-6 - готовность к ведению и лечению пациентов с психическими и поведенческими расстройствами, обусловленными употреблением психоактивных веществ;</w:t>
      </w:r>
    </w:p>
    <w:p w:rsidR="008E4F20" w:rsidRPr="008E4F20" w:rsidRDefault="008E4F20" w:rsidP="008E4F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3" w:name="_Hlk524289720"/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ПК-7 - готовность к оказанию медицинской помощи при чрезвычайных ситуациях, в том числе участию в медицинской эвакуации;</w:t>
      </w:r>
    </w:p>
    <w:bookmarkEnd w:id="3"/>
    <w:p w:rsidR="008E4F20" w:rsidRPr="008E4F20" w:rsidRDefault="008E4F20" w:rsidP="008E4F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реабилитации; </w:t>
      </w:r>
    </w:p>
    <w:p w:rsidR="008E4F20" w:rsidRPr="008E4F20" w:rsidRDefault="008E4F20" w:rsidP="008E4F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8E4F20" w:rsidRPr="008E4F20" w:rsidRDefault="008E4F20" w:rsidP="008E4F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ПК-10 -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 </w:t>
      </w:r>
    </w:p>
    <w:p w:rsidR="008E4F20" w:rsidRPr="008E4F20" w:rsidRDefault="008E4F20" w:rsidP="008E4F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ПК-11 - готовность к участию в оценке качества оказания медицинской помощи с использованием основных медико-статистических показателей; </w:t>
      </w:r>
    </w:p>
    <w:p w:rsidR="008E4F20" w:rsidRPr="008E4F20" w:rsidRDefault="008E4F20" w:rsidP="008E4F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E4F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ПК-12 - готовность к организации медицинской помощи при чрезвычайных ситуациях, в том числе медицинской</w:t>
      </w:r>
      <w:r w:rsidRPr="008E4F20">
        <w:rPr>
          <w:rFonts w:ascii="Times New Roman" w:eastAsia="Times New Roman" w:hAnsi="Times New Roman" w:cs="Times New Roman"/>
          <w:lang w:eastAsia="ru-RU" w:bidi="he-IL"/>
        </w:rPr>
        <w:t xml:space="preserve"> эвакуации</w:t>
      </w:r>
      <w:r>
        <w:rPr>
          <w:rFonts w:ascii="Times New Roman" w:eastAsia="Times New Roman" w:hAnsi="Times New Roman" w:cs="Times New Roman"/>
          <w:lang w:eastAsia="ru-RU" w:bidi="he-IL"/>
        </w:rPr>
        <w:t>.</w:t>
      </w:r>
    </w:p>
    <w:p w:rsidR="0031633B" w:rsidRDefault="0031633B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8E4F20" w:rsidRPr="000E7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 частная психиатрия-наркология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220C11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bookmarkStart w:id="4" w:name="_Hlk524289776"/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220C11">
        <w:rPr>
          <w:rFonts w:ascii="Times New Roman" w:hAnsi="Times New Roman"/>
          <w:b/>
          <w:sz w:val="24"/>
          <w:szCs w:val="24"/>
        </w:rPr>
        <w:t>: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алгоритм проведения профилактических медицинских осмотров, диспансеризации и осуществлению диспансерного наблюдения; 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 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применения социально-гигиенических методик сбора и медико-статистического анализа информации о показателях здоровья взрослых и подростков; 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алгоритм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алгоритм оказания медицинской помощи при чрезвычайных ситуациях, в том числе участию в медицинской эвакуации;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организации и управления в сфере охраны здоровья граждан, в медицинских организациях и их структурных подразделениях;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оценки качества оказания медицинской помощи с использованием основных медико-статистических показателей;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 организации медицинской помощи при чрезвычайных ситуациях, в том числе медицинской эвакуации.</w:t>
      </w:r>
    </w:p>
    <w:p w:rsidR="007E1F3E" w:rsidRPr="00220C1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b/>
          <w:sz w:val="24"/>
          <w:szCs w:val="24"/>
        </w:rPr>
        <w:t>Уметь:</w:t>
      </w:r>
    </w:p>
    <w:p w:rsidR="00FA3D17" w:rsidRPr="00220C11" w:rsidRDefault="007E1F3E" w:rsidP="00F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hAnsi="Times New Roman" w:cs="Times New Roman"/>
          <w:sz w:val="24"/>
          <w:szCs w:val="24"/>
        </w:rPr>
        <w:t xml:space="preserve">- </w:t>
      </w:r>
      <w:r w:rsidR="00FA3D17"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осуществлять профилактические медицинские осмотры, диспансеризацию и осуществлять диспансерное наблюдение;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осуществлять противоэпидемические мероприятия,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FA3D17" w:rsidRPr="00220C11" w:rsidRDefault="00FA3D1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применять социально-гигиенические методики сбора и медико-статистический анализ информации о показателях здоровья взрослых и подростков;</w:t>
      </w:r>
    </w:p>
    <w:p w:rsidR="00277537" w:rsidRPr="00220C11" w:rsidRDefault="0027753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определять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77537" w:rsidRPr="00220C11" w:rsidRDefault="0027753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оказывать лечение пациентам с психическими и поведенческими расстройствами, обусловленными употреблением психоактивных веществ;</w:t>
      </w:r>
    </w:p>
    <w:p w:rsidR="00277537" w:rsidRPr="00220C11" w:rsidRDefault="0027753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оказывать медицинскую помощь при чрезвычайных ситуациях, в том числе участию в медицинской эвакуации;</w:t>
      </w:r>
    </w:p>
    <w:p w:rsidR="00277537" w:rsidRPr="00220C11" w:rsidRDefault="0027753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природные лечебные факторы, лекарственной, немедикаментозной терапии и других методов у пациентов, нуждающихся в медицинской реабилитации;</w:t>
      </w:r>
    </w:p>
    <w:p w:rsidR="00277537" w:rsidRPr="00220C11" w:rsidRDefault="0027753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77537" w:rsidRPr="00220C11" w:rsidRDefault="0027753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принципы организации и управления в сфере охраны здоровья граждан, в медицинских организациях и их структурных подразделениях;</w:t>
      </w:r>
    </w:p>
    <w:p w:rsidR="00277537" w:rsidRPr="00220C11" w:rsidRDefault="0027753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оказания медицинской помощи с использованием основных медико-статистических показателей;</w:t>
      </w:r>
    </w:p>
    <w:p w:rsidR="00277537" w:rsidRPr="00220C11" w:rsidRDefault="00277537" w:rsidP="00FA3D1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медицинскую помощи при чрезвычайных ситуациях, в том числе медицинской эвакуации.</w:t>
      </w:r>
    </w:p>
    <w:p w:rsidR="007E1F3E" w:rsidRPr="00220C1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b/>
          <w:sz w:val="24"/>
          <w:szCs w:val="24"/>
        </w:rPr>
        <w:t>Владеть: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sz w:val="24"/>
          <w:szCs w:val="24"/>
        </w:rPr>
        <w:t>навыками осуществления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sz w:val="24"/>
          <w:szCs w:val="24"/>
        </w:rPr>
        <w:t>навыками проведения профилактических медицинских осмотров, диспансеризации и осуществлению диспансерного наблюдения;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 w:cs="Times New Roman"/>
          <w:sz w:val="24"/>
          <w:szCs w:val="24"/>
        </w:rPr>
        <w:t>навыками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 w:cs="Times New Roman"/>
          <w:sz w:val="24"/>
          <w:szCs w:val="24"/>
        </w:rPr>
        <w:t>навыками применения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 w:cs="Times New Roman"/>
          <w:sz w:val="24"/>
          <w:szCs w:val="24"/>
        </w:rPr>
        <w:t>навыками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 w:cs="Times New Roman"/>
          <w:sz w:val="24"/>
          <w:szCs w:val="24"/>
        </w:rPr>
        <w:t>навыками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 w:cs="Times New Roman"/>
          <w:sz w:val="24"/>
          <w:szCs w:val="24"/>
        </w:rPr>
        <w:lastRenderedPageBreak/>
        <w:t>навыками оказания медицинской помощи при чрезвычайных ситуациях, в том числе участию в медицинской эвакуации;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sz w:val="24"/>
          <w:szCs w:val="24"/>
        </w:rPr>
        <w:t>навыками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sz w:val="24"/>
          <w:szCs w:val="24"/>
        </w:rPr>
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sz w:val="24"/>
          <w:szCs w:val="24"/>
        </w:rPr>
        <w:t>навыками применения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sz w:val="24"/>
          <w:szCs w:val="24"/>
        </w:rPr>
        <w:t>навыками оценки качества оказания медицинской помощи с использованием основных медико-статистических показателей;</w:t>
      </w:r>
    </w:p>
    <w:p w:rsidR="00277537" w:rsidRPr="00220C11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20C11">
        <w:rPr>
          <w:rFonts w:ascii="Times New Roman" w:hAnsi="Times New Roman"/>
          <w:sz w:val="24"/>
          <w:szCs w:val="24"/>
        </w:rPr>
        <w:t>навыками организации медицинской помощи при чрезвычайных ситуациях, в том числе медицинской эвакуации.</w:t>
      </w:r>
    </w:p>
    <w:bookmarkEnd w:id="4"/>
    <w:p w:rsidR="0031633B" w:rsidRPr="00220C11" w:rsidRDefault="0031633B" w:rsidP="0031633B">
      <w:pPr>
        <w:pStyle w:val="a8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31633B" w:rsidRPr="00277537">
        <w:t>Общая и частная психиатрия-наркология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D72D0D" w:rsidRDefault="00277537" w:rsidP="0027753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D0D">
        <w:rPr>
          <w:rFonts w:ascii="Times New Roman" w:hAnsi="Times New Roman"/>
          <w:sz w:val="24"/>
          <w:szCs w:val="24"/>
        </w:rPr>
        <w:t>Учебная дисциплина «Общая и частная психиатрия-наркология» относится к специальности 31.08.21 Психиатрия-наркология и относится к обязательным дисциплинам (базовой части).</w:t>
      </w:r>
    </w:p>
    <w:p w:rsidR="0031633B" w:rsidRPr="00D72D0D" w:rsidRDefault="0031633B" w:rsidP="0031633B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77AC" w:rsidRPr="00D72D0D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D72D0D">
        <w:rPr>
          <w:b/>
        </w:rPr>
        <w:t>Общая трудоемкость дисциплины:</w:t>
      </w:r>
    </w:p>
    <w:p w:rsidR="007E1F3E" w:rsidRPr="00D72D0D" w:rsidRDefault="00277537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D72D0D">
        <w:t>105</w:t>
      </w:r>
      <w:r w:rsidR="006077AC" w:rsidRPr="00D72D0D">
        <w:t xml:space="preserve"> зачетны</w:t>
      </w:r>
      <w:r w:rsidRPr="00D72D0D">
        <w:t>х</w:t>
      </w:r>
      <w:r w:rsidR="006077AC" w:rsidRPr="00D72D0D">
        <w:t xml:space="preserve"> единиц </w:t>
      </w:r>
      <w:r w:rsidR="00C57E98" w:rsidRPr="00D72D0D">
        <w:t>(</w:t>
      </w:r>
      <w:r w:rsidRPr="00D72D0D">
        <w:t>3780</w:t>
      </w:r>
      <w:r w:rsidR="006077AC" w:rsidRPr="00D72D0D">
        <w:t xml:space="preserve"> час</w:t>
      </w:r>
      <w:r w:rsidRPr="00D72D0D">
        <w:t>ов</w:t>
      </w:r>
      <w:r w:rsidR="00C57E98" w:rsidRPr="00D72D0D">
        <w:t xml:space="preserve">), из них аудиторных </w:t>
      </w:r>
      <w:r w:rsidRPr="00D72D0D">
        <w:t>720</w:t>
      </w:r>
      <w:r w:rsidR="00C57E98" w:rsidRPr="00D72D0D">
        <w:t xml:space="preserve"> часов.</w:t>
      </w:r>
    </w:p>
    <w:p w:rsidR="0031633B" w:rsidRPr="00D72D0D" w:rsidRDefault="0031633B" w:rsidP="004C1FF1">
      <w:pPr>
        <w:pStyle w:val="a7"/>
        <w:tabs>
          <w:tab w:val="clear" w:pos="756"/>
        </w:tabs>
        <w:spacing w:line="240" w:lineRule="auto"/>
        <w:ind w:left="0" w:firstLine="709"/>
      </w:pPr>
    </w:p>
    <w:p w:rsidR="00151808" w:rsidRDefault="00C57E98" w:rsidP="00935975">
      <w:pPr>
        <w:pStyle w:val="a8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151808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151808">
        <w:rPr>
          <w:rFonts w:ascii="Times New Roman" w:hAnsi="Times New Roman"/>
          <w:b/>
          <w:sz w:val="24"/>
          <w:szCs w:val="24"/>
        </w:rPr>
        <w:t>:</w:t>
      </w:r>
    </w:p>
    <w:p w:rsidR="00151808" w:rsidRPr="00151808" w:rsidRDefault="00151808" w:rsidP="00151808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409"/>
        <w:gridCol w:w="5670"/>
      </w:tblGrid>
      <w:tr w:rsidR="00C57E98" w:rsidRPr="00B87ACC" w:rsidTr="00151808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409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67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51808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77537" w:rsidRPr="00F55F6D" w:rsidTr="00D72D0D">
        <w:trPr>
          <w:trHeight w:val="3819"/>
        </w:trPr>
        <w:tc>
          <w:tcPr>
            <w:tcW w:w="426" w:type="dxa"/>
            <w:vAlign w:val="center"/>
          </w:tcPr>
          <w:p w:rsidR="00277537" w:rsidRPr="00F55F6D" w:rsidRDefault="00277537" w:rsidP="00D72D0D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7537" w:rsidRPr="00CD6303" w:rsidRDefault="00277537" w:rsidP="00277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277537" w:rsidRPr="00CD6303" w:rsidRDefault="00277537" w:rsidP="00277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277537" w:rsidRPr="00CD6303" w:rsidRDefault="00277537" w:rsidP="00277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277537" w:rsidRPr="00CD6303" w:rsidRDefault="00277537" w:rsidP="0027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277537" w:rsidRPr="00CD6303" w:rsidRDefault="00277537" w:rsidP="0027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ПК-9</w:t>
            </w:r>
          </w:p>
          <w:p w:rsidR="00277537" w:rsidRPr="00CD6303" w:rsidRDefault="00277537" w:rsidP="0027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ПК-10</w:t>
            </w:r>
          </w:p>
          <w:p w:rsidR="00277537" w:rsidRPr="00CD6303" w:rsidRDefault="00277537" w:rsidP="0027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277537" w:rsidRPr="00D81693" w:rsidRDefault="00277537" w:rsidP="002775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409" w:type="dxa"/>
            <w:vAlign w:val="center"/>
          </w:tcPr>
          <w:p w:rsidR="00277537" w:rsidRPr="00D81693" w:rsidRDefault="00277537" w:rsidP="00D72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>Организация психиатрической и наркологической помощи. Правовые аспекты психиатрии-наркологии. Пропедевтика психиатрии - наркологии</w:t>
            </w:r>
          </w:p>
        </w:tc>
        <w:tc>
          <w:tcPr>
            <w:tcW w:w="5670" w:type="dxa"/>
          </w:tcPr>
          <w:p w:rsidR="00277537" w:rsidRPr="00002948" w:rsidRDefault="00277537" w:rsidP="00D72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 xml:space="preserve">Эпидемиология наркологических заболеваний.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психиатрической и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наркологической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Медицинская этика и деонтология в психиатрии-наркологии. Правовые аспекты психиатрии-наркологии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Клинико-психопатологическое иссле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ование. Общесоматическое и невроло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ическое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Дополнительные методы обследования: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69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психологическое, нейрофизиологическое, </w:t>
            </w:r>
            <w:proofErr w:type="spellStart"/>
            <w:r w:rsidRPr="00D81693">
              <w:rPr>
                <w:rFonts w:ascii="Times New Roman" w:hAnsi="Times New Roman"/>
                <w:snapToGrid w:val="0"/>
                <w:sz w:val="24"/>
                <w:szCs w:val="24"/>
              </w:rPr>
              <w:t>нейрорентгенологическое</w:t>
            </w:r>
            <w:proofErr w:type="spellEnd"/>
            <w:r w:rsidRPr="00D81693">
              <w:rPr>
                <w:rFonts w:ascii="Times New Roman" w:hAnsi="Times New Roman"/>
                <w:snapToGrid w:val="0"/>
                <w:sz w:val="24"/>
                <w:szCs w:val="24"/>
              </w:rPr>
              <w:t>. Фармакологические методы обследования. Другие лабораторные исследования. Исследование спинномозговой жидкости. Исследование крови и мочи.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Оформление полученных данных в клинической истории болезни. Этапный и выписной эпикризы</w:t>
            </w:r>
          </w:p>
        </w:tc>
      </w:tr>
      <w:tr w:rsidR="00151808" w:rsidRPr="00F55F6D" w:rsidTr="00D72D0D">
        <w:tc>
          <w:tcPr>
            <w:tcW w:w="426" w:type="dxa"/>
            <w:vAlign w:val="center"/>
          </w:tcPr>
          <w:p w:rsidR="00151808" w:rsidRPr="00F55F6D" w:rsidRDefault="00151808" w:rsidP="00D72D0D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151808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ПК-9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ПК-10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151808" w:rsidRPr="00D81693" w:rsidRDefault="00151808" w:rsidP="00151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409" w:type="dxa"/>
            <w:vAlign w:val="center"/>
          </w:tcPr>
          <w:p w:rsidR="00151808" w:rsidRPr="00D81693" w:rsidRDefault="00151808" w:rsidP="00151808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lastRenderedPageBreak/>
              <w:t>Общая психопатология и частная психиатрия</w:t>
            </w:r>
          </w:p>
        </w:tc>
        <w:tc>
          <w:tcPr>
            <w:tcW w:w="5670" w:type="dxa"/>
            <w:vAlign w:val="center"/>
          </w:tcPr>
          <w:p w:rsidR="00151808" w:rsidRPr="001864ED" w:rsidRDefault="00151808" w:rsidP="00D72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>Общая семиотика психических расстройств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 xml:space="preserve">Невротические и </w:t>
            </w:r>
            <w:proofErr w:type="spellStart"/>
            <w:r w:rsidRPr="00D81693">
              <w:rPr>
                <w:rFonts w:ascii="Times New Roman" w:hAnsi="Times New Roman"/>
                <w:sz w:val="24"/>
                <w:szCs w:val="24"/>
              </w:rPr>
              <w:t>неврозоподобные</w:t>
            </w:r>
            <w:proofErr w:type="spellEnd"/>
            <w:r w:rsidRPr="00D81693">
              <w:rPr>
                <w:rFonts w:ascii="Times New Roman" w:hAnsi="Times New Roman"/>
                <w:sz w:val="24"/>
                <w:szCs w:val="24"/>
              </w:rPr>
              <w:t xml:space="preserve"> синдромы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Галлюцинаторно-бредовые синдромы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Нарушения памяти и интеллек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та. Синдромы помрачения сознания.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Эмоциональные и двигательно-волевые расстр</w:t>
            </w:r>
            <w:r>
              <w:rPr>
                <w:rFonts w:ascii="Times New Roman" w:hAnsi="Times New Roman"/>
                <w:sz w:val="24"/>
                <w:szCs w:val="24"/>
              </w:rPr>
              <w:t>ойст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Органические заболевания головного мозга. Экзогенные и соматогенные психические расстройства. Эпилепсия.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Шизофрения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Аффективные 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Психогенные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Умственная отсталость. Расстройства личности и акцентуации личности. Психопатоподобные расстройства</w:t>
            </w:r>
          </w:p>
        </w:tc>
      </w:tr>
      <w:tr w:rsidR="00151808" w:rsidRPr="00F55F6D" w:rsidTr="00D72D0D">
        <w:trPr>
          <w:trHeight w:val="2010"/>
        </w:trPr>
        <w:tc>
          <w:tcPr>
            <w:tcW w:w="426" w:type="dxa"/>
            <w:vAlign w:val="center"/>
          </w:tcPr>
          <w:p w:rsidR="00151808" w:rsidRPr="00F55F6D" w:rsidRDefault="00151808" w:rsidP="00D72D0D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151808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51808" w:rsidRPr="00E20632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409" w:type="dxa"/>
            <w:vAlign w:val="center"/>
          </w:tcPr>
          <w:p w:rsidR="00151808" w:rsidRPr="00D81693" w:rsidRDefault="00151808" w:rsidP="00151808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>Общая патология и патогенез наркологических заболеваний</w:t>
            </w:r>
          </w:p>
        </w:tc>
        <w:tc>
          <w:tcPr>
            <w:tcW w:w="5670" w:type="dxa"/>
            <w:vAlign w:val="center"/>
          </w:tcPr>
          <w:p w:rsidR="00151808" w:rsidRPr="005F20AA" w:rsidRDefault="00151808" w:rsidP="00D72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>Нейрохимические основы деятельности мозга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Метаболизм этанола. Механизмы его токсического действия. Биологические механизмы зависимости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от психоактивных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Социально-психологические факторы патогенеза наркологических заболеваний</w:t>
            </w:r>
          </w:p>
        </w:tc>
      </w:tr>
      <w:tr w:rsidR="00151808" w:rsidRPr="00F55F6D" w:rsidTr="00D72D0D">
        <w:trPr>
          <w:trHeight w:val="3873"/>
        </w:trPr>
        <w:tc>
          <w:tcPr>
            <w:tcW w:w="426" w:type="dxa"/>
            <w:vAlign w:val="center"/>
          </w:tcPr>
          <w:p w:rsidR="00151808" w:rsidRPr="00F55F6D" w:rsidRDefault="00151808" w:rsidP="00D72D0D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151808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ПК-9</w:t>
            </w:r>
          </w:p>
          <w:p w:rsidR="00151808" w:rsidRPr="00D81693" w:rsidRDefault="00151808" w:rsidP="00151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51808" w:rsidRPr="00D81693" w:rsidRDefault="00151808" w:rsidP="00151808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>Психические и поведенческие расстройства вследствие употребления алкоголя. Алкогольные (</w:t>
            </w:r>
            <w:r w:rsidR="0031633B" w:rsidRPr="00D81693">
              <w:rPr>
                <w:rFonts w:ascii="Times New Roman" w:hAnsi="Times New Roman"/>
                <w:sz w:val="24"/>
                <w:szCs w:val="24"/>
              </w:rPr>
              <w:t>мет алкогольные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) психозы.</w:t>
            </w:r>
          </w:p>
        </w:tc>
        <w:tc>
          <w:tcPr>
            <w:tcW w:w="5670" w:type="dxa"/>
            <w:vAlign w:val="center"/>
          </w:tcPr>
          <w:p w:rsidR="00151808" w:rsidRPr="00135312" w:rsidRDefault="00151808" w:rsidP="00D72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>Классификация и современная типология алкоголизма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Симптомы и синдромы при алкоголизме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Патологическое влечение к алкоголю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Изменение опьянения при алкоголизме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Алкогольный абстинентный синдром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Нарушения нозогнозии при алкоголизме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менения личности при алкоголизме.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 xml:space="preserve"> Соматоневрологические последствия хронической алкогольной интоксикации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Алкогольные (</w:t>
            </w:r>
            <w:r w:rsidR="0031633B" w:rsidRPr="00D81693">
              <w:rPr>
                <w:rFonts w:ascii="Times New Roman" w:hAnsi="Times New Roman"/>
                <w:sz w:val="24"/>
                <w:szCs w:val="24"/>
              </w:rPr>
              <w:t>мет алкогольные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) психозы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Алкогольный делирий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Алкогольный галлюциноз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Алкогольные бредовые психозы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Алкогольные энцефалопатии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Возрастные аспекты алкоголизма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Алкоголизм у женщин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Ремиссии и рецидивы при алкоголизме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1693">
              <w:rPr>
                <w:rFonts w:ascii="Times New Roman" w:hAnsi="Times New Roman"/>
                <w:sz w:val="24"/>
                <w:szCs w:val="24"/>
              </w:rPr>
              <w:t>Алкоголизм в сочетании с другими психическими заболеваниями</w:t>
            </w:r>
          </w:p>
        </w:tc>
      </w:tr>
      <w:tr w:rsidR="00151808" w:rsidRPr="00F55F6D" w:rsidTr="00D72D0D">
        <w:trPr>
          <w:trHeight w:val="2074"/>
        </w:trPr>
        <w:tc>
          <w:tcPr>
            <w:tcW w:w="426" w:type="dxa"/>
            <w:vAlign w:val="center"/>
          </w:tcPr>
          <w:p w:rsidR="00151808" w:rsidRPr="00F55F6D" w:rsidRDefault="00151808" w:rsidP="00D72D0D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151808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51808" w:rsidRPr="0031633B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409" w:type="dxa"/>
            <w:vAlign w:val="center"/>
          </w:tcPr>
          <w:p w:rsidR="00151808" w:rsidRPr="00D81693" w:rsidRDefault="00151808" w:rsidP="00151808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>Наркомании и токсикомании</w:t>
            </w:r>
          </w:p>
        </w:tc>
        <w:tc>
          <w:tcPr>
            <w:tcW w:w="5670" w:type="dxa"/>
            <w:vAlign w:val="center"/>
          </w:tcPr>
          <w:p w:rsidR="00151808" w:rsidRPr="00135312" w:rsidRDefault="00151808" w:rsidP="00D72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9D">
              <w:rPr>
                <w:rFonts w:ascii="Times New Roman" w:hAnsi="Times New Roman"/>
                <w:sz w:val="24"/>
                <w:szCs w:val="24"/>
              </w:rPr>
              <w:t>Общие клинические закономерности формирования наркоманий и токсикоманий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Опийная наркомания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Наркомания, вызванная каннабиноидами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Наркомания, вызванная приемом психостимуляторов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Кокаиновая наркомания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Наркомания, вызванная галлюциногенами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 xml:space="preserve">Зависимость от седативных и снотворных препаратов. Токсикомания, вызванная </w:t>
            </w:r>
            <w:proofErr w:type="spellStart"/>
            <w:r w:rsidRPr="0095309D">
              <w:rPr>
                <w:rFonts w:ascii="Times New Roman" w:hAnsi="Times New Roman"/>
                <w:sz w:val="24"/>
                <w:szCs w:val="24"/>
              </w:rPr>
              <w:t>ингалятами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309D">
              <w:rPr>
                <w:rFonts w:ascii="Times New Roman" w:hAnsi="Times New Roman"/>
                <w:sz w:val="24"/>
                <w:szCs w:val="24"/>
              </w:rPr>
              <w:t>Полизависимость</w:t>
            </w:r>
            <w:proofErr w:type="spellEnd"/>
            <w:r w:rsidR="003163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808" w:rsidRPr="00F55F6D" w:rsidTr="00D72D0D">
        <w:trPr>
          <w:trHeight w:val="4037"/>
        </w:trPr>
        <w:tc>
          <w:tcPr>
            <w:tcW w:w="426" w:type="dxa"/>
            <w:vAlign w:val="center"/>
          </w:tcPr>
          <w:p w:rsidR="00151808" w:rsidRPr="00F55F6D" w:rsidRDefault="00151808" w:rsidP="00D72D0D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CD630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151808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ПК-9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ПК-10</w:t>
            </w:r>
          </w:p>
          <w:p w:rsidR="00151808" w:rsidRPr="00CD6303" w:rsidRDefault="00151808" w:rsidP="0015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151808" w:rsidRPr="00D81693" w:rsidRDefault="00151808" w:rsidP="00151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303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409" w:type="dxa"/>
            <w:vAlign w:val="center"/>
          </w:tcPr>
          <w:p w:rsidR="00151808" w:rsidRPr="00D81693" w:rsidRDefault="00151808" w:rsidP="00151808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D81693">
              <w:rPr>
                <w:rFonts w:ascii="Times New Roman" w:hAnsi="Times New Roman"/>
                <w:sz w:val="24"/>
                <w:szCs w:val="24"/>
              </w:rPr>
              <w:t>Экспертиза в наркологии Лечение и реабилитация наркологических больных</w:t>
            </w:r>
          </w:p>
        </w:tc>
        <w:tc>
          <w:tcPr>
            <w:tcW w:w="5670" w:type="dxa"/>
            <w:vAlign w:val="center"/>
          </w:tcPr>
          <w:p w:rsidR="00151808" w:rsidRPr="00135312" w:rsidRDefault="00151808" w:rsidP="00D72D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9D">
              <w:rPr>
                <w:rFonts w:ascii="Times New Roman" w:hAnsi="Times New Roman"/>
                <w:sz w:val="24"/>
                <w:szCs w:val="24"/>
              </w:rPr>
              <w:t>Судебно-наркологическая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Медико-социальная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Лабораторная диагностика острого и хронического употребления психоактивных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Медицинское освидетельствование для установления факта употребления алкоголя и состояния опьянения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Современная концепция терапии наркологических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Медикаментозное лечение алкоголизма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Медикаментозное лечение наркоманий и токсикоманий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Немедикаментозные биологические методы лечения наркологических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Психотерапия в наркологии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09D">
              <w:rPr>
                <w:rFonts w:ascii="Times New Roman" w:hAnsi="Times New Roman"/>
                <w:sz w:val="24"/>
                <w:szCs w:val="24"/>
              </w:rPr>
              <w:t>Реабилитация наркологических больных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Pr="00C40998" w:rsidRDefault="00A06740" w:rsidP="00C4099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Самоподготовка </w:t>
      </w:r>
      <w:r w:rsidR="00C40998" w:rsidRPr="00C409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текущему контролю </w:t>
      </w:r>
      <w:r w:rsidR="00C409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="00C40998" w:rsidRPr="00C409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промежуточной аттестации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доклад сообщению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31633B" w:rsidRDefault="0031633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0998" w:rsidRDefault="00A06740" w:rsidP="00C40998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C40998" w:rsidRPr="00C40998" w:rsidRDefault="00A06740" w:rsidP="00C4099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998">
        <w:rPr>
          <w:rFonts w:ascii="Times New Roman" w:hAnsi="Times New Roman" w:cs="Times New Roman"/>
          <w:bCs/>
          <w:sz w:val="24"/>
          <w:szCs w:val="24"/>
        </w:rPr>
        <w:t>интегративно-модульное обучение на основе личностно-деятельно</w:t>
      </w:r>
      <w:r w:rsidR="006D2BBE" w:rsidRPr="00C40998">
        <w:rPr>
          <w:rFonts w:ascii="Times New Roman" w:hAnsi="Times New Roman" w:cs="Times New Roman"/>
          <w:bCs/>
          <w:sz w:val="24"/>
          <w:szCs w:val="24"/>
        </w:rPr>
        <w:t>стного</w:t>
      </w:r>
      <w:r w:rsidRPr="00C40998">
        <w:rPr>
          <w:rFonts w:ascii="Times New Roman" w:hAnsi="Times New Roman" w:cs="Times New Roman"/>
          <w:bCs/>
          <w:sz w:val="24"/>
          <w:szCs w:val="24"/>
        </w:rPr>
        <w:t>, индивидуально-дифференцированного, компетентностного подходов, обучение в сотрудничестве, проблемное обучение</w:t>
      </w:r>
      <w:r w:rsidR="00C4099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40998" w:rsidRPr="00C40998">
        <w:rPr>
          <w:rFonts w:ascii="Times New Roman" w:hAnsi="Times New Roman" w:cs="Times New Roman"/>
          <w:bCs/>
          <w:sz w:val="24"/>
          <w:szCs w:val="24"/>
        </w:rPr>
        <w:t>имитационные технологии: ролевые и деловые игры, тре</w:t>
      </w:r>
      <w:r w:rsidR="00C40998" w:rsidRPr="00C40998">
        <w:rPr>
          <w:rFonts w:ascii="Times New Roman" w:hAnsi="Times New Roman" w:cs="Times New Roman"/>
          <w:bCs/>
          <w:sz w:val="24"/>
          <w:szCs w:val="24"/>
        </w:rPr>
        <w:softHyphen/>
        <w:t>нинг, ситуация-кейс др.</w:t>
      </w:r>
      <w:r w:rsidR="00C40998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C40998" w:rsidRPr="00C40998">
        <w:rPr>
          <w:rFonts w:ascii="Times New Roman" w:hAnsi="Times New Roman" w:cs="Times New Roman"/>
          <w:bCs/>
          <w:sz w:val="24"/>
          <w:szCs w:val="24"/>
        </w:rPr>
        <w:t>неимитационные</w:t>
      </w:r>
      <w:proofErr w:type="spellEnd"/>
      <w:r w:rsidR="00C40998" w:rsidRPr="00C40998">
        <w:rPr>
          <w:rFonts w:ascii="Times New Roman" w:hAnsi="Times New Roman" w:cs="Times New Roman"/>
          <w:bCs/>
          <w:sz w:val="24"/>
          <w:szCs w:val="24"/>
        </w:rPr>
        <w:t xml:space="preserve"> технологии: лекция (проблемная, визуализация и др.), дискуссия (с «мозговым штурмом» и без него</w:t>
      </w:r>
      <w:r w:rsidR="00C40998" w:rsidRPr="00C4099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 xml:space="preserve">алгоритмические, проблемно-исследовательские экспериментально-практические,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C27EE3" w:rsidRPr="00C27EE3" w:rsidRDefault="00C27EE3" w:rsidP="00C27EE3">
      <w:pPr>
        <w:pStyle w:val="Style1"/>
        <w:widowControl/>
        <w:tabs>
          <w:tab w:val="left" w:leader="underscore" w:pos="6950"/>
          <w:tab w:val="left" w:leader="underscore" w:pos="8088"/>
        </w:tabs>
        <w:spacing w:line="293" w:lineRule="exact"/>
        <w:ind w:firstLine="540"/>
        <w:rPr>
          <w:rStyle w:val="FontStyle59"/>
        </w:rPr>
      </w:pPr>
      <w:r w:rsidRPr="00C27EE3">
        <w:rPr>
          <w:rStyle w:val="FontStyle59"/>
        </w:rPr>
        <w:t xml:space="preserve">Обучение складывается из аудиторных занятий (720 час), включающих лекционный курс и практические занятия, и самостоятельной работы (360 час). </w:t>
      </w:r>
    </w:p>
    <w:p w:rsidR="00C27EE3" w:rsidRPr="00C27EE3" w:rsidRDefault="00C27EE3" w:rsidP="00C27EE3">
      <w:pPr>
        <w:pStyle w:val="Style1"/>
        <w:widowControl/>
        <w:ind w:firstLine="540"/>
        <w:rPr>
          <w:rStyle w:val="FontStyle59"/>
        </w:rPr>
      </w:pPr>
      <w:r w:rsidRPr="00C27EE3">
        <w:rPr>
          <w:rStyle w:val="FontStyle59"/>
        </w:rPr>
        <w:t xml:space="preserve">Работа с учебной литературой рассматривается как вид учебной работы по дисциплине </w:t>
      </w:r>
      <w:r w:rsidRPr="00C27EE3">
        <w:rPr>
          <w:rStyle w:val="FontStyle61"/>
          <w:b w:val="0"/>
        </w:rPr>
        <w:t>«</w:t>
      </w:r>
      <w:r w:rsidRPr="00C27EE3">
        <w:t xml:space="preserve">Общая и частная психиатрия-наркология» </w:t>
      </w:r>
      <w:r w:rsidRPr="00C27EE3">
        <w:rPr>
          <w:rStyle w:val="FontStyle59"/>
        </w:rPr>
        <w:t>выполняется в пределах часов, отводимых на её изучение (в разделе СР).</w:t>
      </w:r>
    </w:p>
    <w:p w:rsidR="00C27EE3" w:rsidRPr="00C27EE3" w:rsidRDefault="00C27EE3" w:rsidP="00C27EE3">
      <w:pPr>
        <w:pStyle w:val="Style1"/>
        <w:widowControl/>
        <w:ind w:firstLine="878"/>
        <w:rPr>
          <w:rStyle w:val="FontStyle59"/>
        </w:rPr>
      </w:pPr>
      <w:r w:rsidRPr="00C27EE3">
        <w:rPr>
          <w:rStyle w:val="FontStyle59"/>
        </w:rPr>
        <w:t>Каждый обучающийся обеспечен доступом к библиотечным фондам Универ</w:t>
      </w:r>
      <w:r w:rsidRPr="00C27EE3">
        <w:rPr>
          <w:rStyle w:val="FontStyle59"/>
        </w:rPr>
        <w:softHyphen/>
        <w:t>ситета и кафедры.</w:t>
      </w:r>
    </w:p>
    <w:p w:rsidR="00C27EE3" w:rsidRPr="00C27EE3" w:rsidRDefault="00C27EE3" w:rsidP="00C27EE3">
      <w:pPr>
        <w:pStyle w:val="Style1"/>
        <w:widowControl/>
        <w:tabs>
          <w:tab w:val="left" w:leader="underscore" w:pos="1291"/>
          <w:tab w:val="left" w:leader="underscore" w:pos="4594"/>
          <w:tab w:val="left" w:leader="underscore" w:pos="8405"/>
        </w:tabs>
        <w:ind w:firstLine="878"/>
        <w:rPr>
          <w:rStyle w:val="FontStyle59"/>
        </w:rPr>
      </w:pPr>
      <w:r w:rsidRPr="00C27EE3">
        <w:rPr>
          <w:rStyle w:val="FontStyle59"/>
        </w:rPr>
        <w:t>Во время изучения учебной дисциплины ординаторы самостоятельно оформляют и представляют рефераты.</w:t>
      </w:r>
    </w:p>
    <w:p w:rsidR="00C27EE3" w:rsidRPr="00C27EE3" w:rsidRDefault="00C27EE3" w:rsidP="00C27EE3">
      <w:pPr>
        <w:pStyle w:val="Style1"/>
        <w:widowControl/>
        <w:ind w:firstLine="874"/>
        <w:rPr>
          <w:rStyle w:val="FontStyle59"/>
        </w:rPr>
      </w:pPr>
      <w:r w:rsidRPr="00C27EE3">
        <w:rPr>
          <w:rStyle w:val="FontStyle59"/>
        </w:rPr>
        <w:lastRenderedPageBreak/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</w:t>
      </w:r>
      <w:r w:rsidRPr="00C27EE3">
        <w:rPr>
          <w:rStyle w:val="FontStyle59"/>
        </w:rPr>
        <w:softHyphen/>
        <w:t>товые задания.</w:t>
      </w:r>
    </w:p>
    <w:p w:rsidR="00C27EE3" w:rsidRPr="00C27EE3" w:rsidRDefault="00C27EE3" w:rsidP="00C27EE3">
      <w:pPr>
        <w:pStyle w:val="Style1"/>
        <w:widowControl/>
        <w:ind w:firstLine="869"/>
        <w:rPr>
          <w:rStyle w:val="FontStyle59"/>
        </w:rPr>
      </w:pPr>
      <w:r w:rsidRPr="00C27EE3">
        <w:rPr>
          <w:rStyle w:val="FontStyle59"/>
        </w:rPr>
        <w:t>В конце изучения учебной дисциплины (модуля) проводится промежуточный контроль знаний с использованием тестового контроля, проверкой практических уме</w:t>
      </w:r>
      <w:r w:rsidRPr="00C27EE3">
        <w:rPr>
          <w:rStyle w:val="FontStyle59"/>
        </w:rPr>
        <w:softHyphen/>
        <w:t>ний и решением ситуационных задач.</w:t>
      </w:r>
    </w:p>
    <w:p w:rsidR="00C27EE3" w:rsidRDefault="00C27EE3" w:rsidP="00C27EE3">
      <w:pPr>
        <w:pStyle w:val="Style1"/>
        <w:widowControl/>
        <w:ind w:firstLine="883"/>
        <w:rPr>
          <w:rStyle w:val="FontStyle59"/>
        </w:rPr>
      </w:pPr>
      <w:r w:rsidRPr="00C27EE3">
        <w:rPr>
          <w:rStyle w:val="FontStyle59"/>
        </w:rPr>
        <w:t>Вопросы по учебной дисциплине включены в государственную итоговую ат</w:t>
      </w:r>
      <w:r w:rsidRPr="00C27EE3">
        <w:rPr>
          <w:rStyle w:val="FontStyle59"/>
        </w:rPr>
        <w:softHyphen/>
        <w:t>тестацию выпускников.</w:t>
      </w:r>
    </w:p>
    <w:p w:rsidR="0031633B" w:rsidRPr="00C27EE3" w:rsidRDefault="0031633B" w:rsidP="00C27EE3">
      <w:pPr>
        <w:pStyle w:val="Style1"/>
        <w:widowControl/>
        <w:ind w:firstLine="883"/>
        <w:rPr>
          <w:rStyle w:val="FontStyle59"/>
        </w:rPr>
      </w:pPr>
    </w:p>
    <w:p w:rsidR="006D2BBE" w:rsidRPr="004C1FF1" w:rsidRDefault="00C27EE3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C27EE3" w:rsidRDefault="00C27EE3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опрос, </w:t>
      </w:r>
    </w:p>
    <w:p w:rsidR="00C27EE3" w:rsidRDefault="00C27EE3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27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исьменная работа, </w:t>
      </w:r>
    </w:p>
    <w:p w:rsidR="006D2BBE" w:rsidRDefault="00C27EE3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27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итуационные задачи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31633B" w:rsidRDefault="0031633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C27EE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="00C27EE3">
        <w:rPr>
          <w:rFonts w:ascii="Times New Roman" w:hAnsi="Times New Roman" w:cs="Times New Roman"/>
          <w:b/>
          <w:bCs/>
          <w:sz w:val="24"/>
          <w:szCs w:val="24"/>
        </w:rPr>
        <w:t>экзамен</w:t>
      </w:r>
    </w:p>
    <w:p w:rsidR="0031633B" w:rsidRDefault="0031633B" w:rsidP="00C27EE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697" w:rsidRPr="00CE7697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</w:p>
    <w:p w:rsidR="00CE7697" w:rsidRPr="00CE7697" w:rsidRDefault="00CE7697" w:rsidP="00CE7697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7697" w:rsidRDefault="00CE7697" w:rsidP="00D72D0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 кафедрой психиатрии</w:t>
      </w:r>
    </w:p>
    <w:p w:rsidR="00CE7697" w:rsidRDefault="00CE7697" w:rsidP="00D72D0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д.м.н.                                                                                                    </w:t>
      </w:r>
      <w:r w:rsidR="00C27EE3">
        <w:rPr>
          <w:rFonts w:ascii="Times New Roman" w:hAnsi="Times New Roman" w:cs="Times New Roman"/>
          <w:bCs/>
          <w:sz w:val="24"/>
          <w:szCs w:val="24"/>
        </w:rPr>
        <w:t>Бойко Е.О.</w:t>
      </w:r>
    </w:p>
    <w:p w:rsidR="00CE7697" w:rsidRDefault="00CE7697" w:rsidP="00D72D0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7697" w:rsidRDefault="00CE7697" w:rsidP="00D72D0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Доцент кафедры психиатрии</w:t>
      </w:r>
    </w:p>
    <w:p w:rsidR="00B45BFB" w:rsidRPr="004C1FF1" w:rsidRDefault="00CE7697" w:rsidP="00D72D0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к.м.н.                                   </w:t>
      </w:r>
      <w:bookmarkStart w:id="5" w:name="_GoBack"/>
      <w:bookmarkEnd w:id="5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C27EE3">
        <w:rPr>
          <w:rFonts w:ascii="Times New Roman" w:hAnsi="Times New Roman" w:cs="Times New Roman"/>
          <w:bCs/>
          <w:sz w:val="24"/>
          <w:szCs w:val="24"/>
        </w:rPr>
        <w:t>Ложникова Л.Е.</w:t>
      </w:r>
    </w:p>
    <w:sectPr w:rsidR="00B45BFB" w:rsidRPr="004C1FF1" w:rsidSect="0031633B">
      <w:headerReference w:type="default" r:id="rId8"/>
      <w:headerReference w:type="first" r:id="rId9"/>
      <w:pgSz w:w="11906" w:h="16838"/>
      <w:pgMar w:top="1134" w:right="850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8E" w:rsidRDefault="00C1118E" w:rsidP="003125CC">
      <w:pPr>
        <w:spacing w:after="0" w:line="240" w:lineRule="auto"/>
      </w:pPr>
      <w:r>
        <w:separator/>
      </w:r>
    </w:p>
  </w:endnote>
  <w:endnote w:type="continuationSeparator" w:id="0">
    <w:p w:rsidR="00C1118E" w:rsidRDefault="00C1118E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8E" w:rsidRDefault="00C1118E" w:rsidP="003125CC">
      <w:pPr>
        <w:spacing w:after="0" w:line="240" w:lineRule="auto"/>
      </w:pPr>
      <w:r>
        <w:separator/>
      </w:r>
    </w:p>
  </w:footnote>
  <w:footnote w:type="continuationSeparator" w:id="0">
    <w:p w:rsidR="00C1118E" w:rsidRDefault="00C1118E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D4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561"/>
    <w:multiLevelType w:val="hybridMultilevel"/>
    <w:tmpl w:val="A3F0BB2C"/>
    <w:lvl w:ilvl="0" w:tplc="24924B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FA0F6E"/>
    <w:multiLevelType w:val="hybridMultilevel"/>
    <w:tmpl w:val="F4D661E6"/>
    <w:lvl w:ilvl="0" w:tplc="F5DCBA1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E91245"/>
    <w:multiLevelType w:val="hybridMultilevel"/>
    <w:tmpl w:val="05447232"/>
    <w:lvl w:ilvl="0" w:tplc="F5DCBA1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8" w15:restartNumberingAfterBreak="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7062"/>
    <w:multiLevelType w:val="hybridMultilevel"/>
    <w:tmpl w:val="57D29528"/>
    <w:lvl w:ilvl="0" w:tplc="D6EC994C">
      <w:start w:val="2"/>
      <w:numFmt w:val="bullet"/>
      <w:lvlText w:val=""/>
      <w:lvlJc w:val="left"/>
      <w:pPr>
        <w:tabs>
          <w:tab w:val="num" w:pos="1138"/>
        </w:tabs>
        <w:ind w:left="1138" w:hanging="57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0E4"/>
    <w:rsid w:val="00032733"/>
    <w:rsid w:val="000E77AA"/>
    <w:rsid w:val="00134766"/>
    <w:rsid w:val="00151808"/>
    <w:rsid w:val="00176358"/>
    <w:rsid w:val="00184652"/>
    <w:rsid w:val="001B53DF"/>
    <w:rsid w:val="00220C11"/>
    <w:rsid w:val="00271BD4"/>
    <w:rsid w:val="00277537"/>
    <w:rsid w:val="00290101"/>
    <w:rsid w:val="002F4567"/>
    <w:rsid w:val="003106A1"/>
    <w:rsid w:val="003125CC"/>
    <w:rsid w:val="0031633B"/>
    <w:rsid w:val="003D4105"/>
    <w:rsid w:val="004863B7"/>
    <w:rsid w:val="004A06A9"/>
    <w:rsid w:val="004C1FF1"/>
    <w:rsid w:val="00577287"/>
    <w:rsid w:val="006077AC"/>
    <w:rsid w:val="00633BB4"/>
    <w:rsid w:val="006C30E4"/>
    <w:rsid w:val="006D2BBE"/>
    <w:rsid w:val="00746F59"/>
    <w:rsid w:val="007E1F3E"/>
    <w:rsid w:val="008E4F20"/>
    <w:rsid w:val="00935975"/>
    <w:rsid w:val="00972F1B"/>
    <w:rsid w:val="009A1B52"/>
    <w:rsid w:val="009F6706"/>
    <w:rsid w:val="00A06740"/>
    <w:rsid w:val="00A41E50"/>
    <w:rsid w:val="00A90E98"/>
    <w:rsid w:val="00B45BFB"/>
    <w:rsid w:val="00B95B38"/>
    <w:rsid w:val="00BE248A"/>
    <w:rsid w:val="00BF3F35"/>
    <w:rsid w:val="00C1118E"/>
    <w:rsid w:val="00C27EE3"/>
    <w:rsid w:val="00C40998"/>
    <w:rsid w:val="00C57E98"/>
    <w:rsid w:val="00CA200E"/>
    <w:rsid w:val="00CE7697"/>
    <w:rsid w:val="00D21B1B"/>
    <w:rsid w:val="00D72D0D"/>
    <w:rsid w:val="00E367CD"/>
    <w:rsid w:val="00E87F18"/>
    <w:rsid w:val="00F21303"/>
    <w:rsid w:val="00FA2830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712"/>
  <w15:docId w15:val="{570830CA-D90C-40AE-915D-B5C1A082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E367C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277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he-IL"/>
    </w:rPr>
  </w:style>
  <w:style w:type="paragraph" w:customStyle="1" w:styleId="Style25">
    <w:name w:val="Style25"/>
    <w:basedOn w:val="a"/>
    <w:rsid w:val="00C40998"/>
    <w:pPr>
      <w:widowControl w:val="0"/>
      <w:autoSpaceDE w:val="0"/>
      <w:autoSpaceDN w:val="0"/>
      <w:adjustRightInd w:val="0"/>
      <w:spacing w:after="0" w:line="254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C27EE3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rsid w:val="00C27EE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C27EE3"/>
    <w:pPr>
      <w:widowControl w:val="0"/>
      <w:autoSpaceDE w:val="0"/>
      <w:autoSpaceDN w:val="0"/>
      <w:adjustRightInd w:val="0"/>
      <w:spacing w:after="0" w:line="298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BDCB-9087-437E-9A79-50C3EFCA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лара</cp:lastModifiedBy>
  <cp:revision>19</cp:revision>
  <cp:lastPrinted>2018-09-07T07:34:00Z</cp:lastPrinted>
  <dcterms:created xsi:type="dcterms:W3CDTF">2018-06-25T13:43:00Z</dcterms:created>
  <dcterms:modified xsi:type="dcterms:W3CDTF">2018-09-09T19:38:00Z</dcterms:modified>
</cp:coreProperties>
</file>