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D9" w:rsidRPr="002513CD" w:rsidRDefault="00B37ED9" w:rsidP="00B37ED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B37ED9" w:rsidRPr="002513CD" w:rsidRDefault="00B37ED9" w:rsidP="00B37ED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(английский язык)</w:t>
      </w:r>
    </w:p>
    <w:p w:rsidR="00B37ED9" w:rsidRPr="002513CD" w:rsidRDefault="00B37ED9" w:rsidP="00B37ED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B37ED9" w:rsidRPr="002513CD" w:rsidRDefault="00B37ED9" w:rsidP="00B37ED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31.05.03 Стоматология</w:t>
      </w:r>
      <w:r w:rsidRPr="002513CD">
        <w:rPr>
          <w:rFonts w:ascii="Times New Roman" w:hAnsi="Times New Roman"/>
          <w:b/>
          <w:sz w:val="24"/>
          <w:szCs w:val="24"/>
        </w:rPr>
        <w:t xml:space="preserve">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B37ED9" w:rsidRPr="002513CD" w:rsidRDefault="00B37ED9" w:rsidP="00B37ED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37ED9" w:rsidRPr="002513CD" w:rsidRDefault="00B37ED9" w:rsidP="00B37ED9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B37ED9" w:rsidRPr="002513CD" w:rsidRDefault="00B37ED9" w:rsidP="00B37ED9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B37ED9" w:rsidRPr="002513CD" w:rsidRDefault="00B37ED9" w:rsidP="00B37ED9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B37ED9" w:rsidRPr="002513CD" w:rsidRDefault="00B37ED9" w:rsidP="00B37ED9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37ED9" w:rsidRPr="002513CD" w:rsidRDefault="00B37ED9" w:rsidP="00B37ED9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(английский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B37ED9" w:rsidRPr="002513CD" w:rsidRDefault="00B37ED9" w:rsidP="00B37ED9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(английский язык) </w:t>
      </w:r>
      <w:r w:rsidRPr="002513CD">
        <w:t xml:space="preserve">направлен на формирование следующих компетенций: </w:t>
      </w:r>
    </w:p>
    <w:p w:rsidR="00B37ED9" w:rsidRPr="002513CD" w:rsidRDefault="00B37ED9" w:rsidP="00B37ED9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B37ED9" w:rsidRPr="001A3463" w:rsidRDefault="00B37ED9" w:rsidP="00B37ED9">
      <w:pPr>
        <w:pStyle w:val="Default"/>
        <w:spacing w:line="276" w:lineRule="auto"/>
        <w:ind w:firstLine="709"/>
        <w:jc w:val="both"/>
      </w:pPr>
      <w:r w:rsidRPr="001A3463">
        <w:t>ОК-5</w:t>
      </w:r>
      <w:r>
        <w:t xml:space="preserve"> (г</w:t>
      </w:r>
      <w:r w:rsidRPr="001A3463">
        <w:t>отовность к саморазвитию, самореализации, самообразованию, испол</w:t>
      </w:r>
      <w:r>
        <w:t>ьзованию творческого потенциала);</w:t>
      </w:r>
    </w:p>
    <w:p w:rsidR="00B37ED9" w:rsidRPr="001A3463" w:rsidRDefault="00B37ED9" w:rsidP="00B37ED9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1A3463">
        <w:t>отовность к работе в коллективе, толерантно воспринимать социальные, этнические, и конфессиональные и культурные различия</w:t>
      </w:r>
      <w:r>
        <w:t>);</w:t>
      </w:r>
    </w:p>
    <w:p w:rsidR="00B37ED9" w:rsidRDefault="00B37ED9" w:rsidP="00B37ED9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B37ED9" w:rsidRPr="001A3463" w:rsidRDefault="00B37ED9" w:rsidP="00B37ED9">
      <w:pPr>
        <w:pStyle w:val="Default"/>
        <w:spacing w:line="276" w:lineRule="auto"/>
        <w:ind w:firstLine="709"/>
        <w:jc w:val="both"/>
      </w:pPr>
      <w:r w:rsidRPr="001A3463">
        <w:t xml:space="preserve">ОПК-2 </w:t>
      </w:r>
      <w:r>
        <w:t>(г</w:t>
      </w:r>
      <w:r w:rsidRPr="001A3463">
        <w:t xml:space="preserve">отовность к коммуникации в устной и письменной </w:t>
      </w:r>
      <w:proofErr w:type="gramStart"/>
      <w:r w:rsidRPr="001A3463">
        <w:t>формах</w:t>
      </w:r>
      <w:proofErr w:type="gramEnd"/>
      <w:r w:rsidRPr="001A3463">
        <w:t xml:space="preserve"> на русском и иностранном языках для решения задач профессиональной деятельности</w:t>
      </w:r>
      <w:r>
        <w:t>);</w:t>
      </w:r>
    </w:p>
    <w:p w:rsidR="00B37ED9" w:rsidRPr="002513CD" w:rsidRDefault="00B37ED9" w:rsidP="00B37ED9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B37ED9" w:rsidRDefault="00B37ED9" w:rsidP="00B37ED9">
      <w:pPr>
        <w:pStyle w:val="Default"/>
        <w:spacing w:line="276" w:lineRule="auto"/>
        <w:ind w:firstLine="709"/>
        <w:jc w:val="both"/>
      </w:pPr>
      <w:r>
        <w:t>ПК-18</w:t>
      </w:r>
      <w:r w:rsidRPr="002513CD">
        <w:t xml:space="preserve"> (способность к участию в проведении научных исследований).</w:t>
      </w:r>
    </w:p>
    <w:p w:rsidR="00B37ED9" w:rsidRDefault="00B37ED9" w:rsidP="00B37ED9">
      <w:pPr>
        <w:pStyle w:val="Default"/>
        <w:spacing w:line="276" w:lineRule="auto"/>
        <w:ind w:firstLine="709"/>
        <w:jc w:val="both"/>
      </w:pPr>
    </w:p>
    <w:p w:rsidR="00B37ED9" w:rsidRPr="001A3463" w:rsidRDefault="00B37ED9" w:rsidP="00B37ED9">
      <w:pPr>
        <w:pStyle w:val="a3"/>
        <w:numPr>
          <w:ilvl w:val="0"/>
          <w:numId w:val="3"/>
        </w:numPr>
        <w:tabs>
          <w:tab w:val="left" w:pos="426"/>
          <w:tab w:val="left" w:pos="993"/>
          <w:tab w:val="left" w:pos="1560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(английский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B37ED9" w:rsidRPr="002513CD" w:rsidRDefault="00B37ED9" w:rsidP="00B37ED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B37ED9" w:rsidRPr="001A3463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B37ED9" w:rsidRPr="001A3463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 xml:space="preserve">рамотно воспринимать и интерпретировать научные тексты на иностранном языке, осуществлять устную иноязычную   коммуникацию   в ситуациях научной </w:t>
      </w:r>
      <w:r w:rsidRPr="001A3463">
        <w:rPr>
          <w:rFonts w:ascii="Times New Roman" w:hAnsi="Times New Roman"/>
          <w:sz w:val="24"/>
          <w:szCs w:val="24"/>
        </w:rPr>
        <w:lastRenderedPageBreak/>
        <w:t>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B37ED9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B37ED9" w:rsidRPr="001A3463" w:rsidRDefault="00B37ED9" w:rsidP="00B37ED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B37ED9" w:rsidRPr="002513CD" w:rsidRDefault="00B37ED9" w:rsidP="00B37ED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B37ED9" w:rsidRDefault="00B37ED9" w:rsidP="00B37ED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B37ED9" w:rsidRDefault="00B37ED9" w:rsidP="00B37ED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B37ED9" w:rsidRDefault="00B37ED9" w:rsidP="00B37ED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B37ED9" w:rsidRPr="004B70D2" w:rsidRDefault="00B37ED9" w:rsidP="00B37ED9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B37ED9" w:rsidRPr="004B70D2" w:rsidRDefault="00B37ED9" w:rsidP="00B37ED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(английский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B37ED9" w:rsidRPr="001A787C" w:rsidRDefault="00B37ED9" w:rsidP="00B37ED9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(английский язык) </w:t>
      </w:r>
      <w:r w:rsidRPr="001A787C">
        <w:rPr>
          <w:rFonts w:ascii="Times New Roman" w:hAnsi="Times New Roman"/>
          <w:sz w:val="24"/>
        </w:rPr>
        <w:t>относится к дисциплинам баз</w:t>
      </w:r>
      <w:r>
        <w:rPr>
          <w:rFonts w:ascii="Times New Roman" w:hAnsi="Times New Roman"/>
          <w:sz w:val="24"/>
        </w:rPr>
        <w:t>овой части Б</w:t>
      </w:r>
      <w:proofErr w:type="gramStart"/>
      <w:r>
        <w:rPr>
          <w:rFonts w:ascii="Times New Roman" w:hAnsi="Times New Roman"/>
          <w:sz w:val="24"/>
        </w:rPr>
        <w:t>1</w:t>
      </w:r>
      <w:proofErr w:type="gramEnd"/>
      <w:r>
        <w:rPr>
          <w:rFonts w:ascii="Times New Roman" w:hAnsi="Times New Roman"/>
          <w:sz w:val="24"/>
        </w:rPr>
        <w:t>.Б.3</w:t>
      </w:r>
      <w:r w:rsidRPr="001A787C">
        <w:rPr>
          <w:rFonts w:ascii="Times New Roman" w:hAnsi="Times New Roman"/>
          <w:sz w:val="24"/>
        </w:rPr>
        <w:t xml:space="preserve"> и является обязательной для изучения.</w:t>
      </w:r>
    </w:p>
    <w:p w:rsidR="00B37ED9" w:rsidRDefault="00B37ED9" w:rsidP="00B37ED9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B37ED9" w:rsidRDefault="00B37ED9" w:rsidP="00B37ED9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 зачетные единицы (108 часов), из них  аудиторных 7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2 часа.</w:t>
      </w:r>
    </w:p>
    <w:p w:rsidR="00B37ED9" w:rsidRPr="002513CD" w:rsidRDefault="00B37ED9" w:rsidP="00B37ED9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901"/>
        <w:gridCol w:w="2911"/>
        <w:gridCol w:w="4022"/>
      </w:tblGrid>
      <w:tr w:rsidR="00B37ED9" w:rsidRPr="00966DD8" w:rsidTr="00F6592C">
        <w:tc>
          <w:tcPr>
            <w:tcW w:w="737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0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1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4022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966DD8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B37ED9" w:rsidRPr="00966DD8" w:rsidTr="00F6592C">
        <w:tc>
          <w:tcPr>
            <w:tcW w:w="737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t>ОК-5, ОПК-2</w:t>
            </w:r>
          </w:p>
        </w:tc>
        <w:tc>
          <w:tcPr>
            <w:tcW w:w="291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Фонетика, орфоэпия</w:t>
            </w:r>
          </w:p>
        </w:tc>
        <w:tc>
          <w:tcPr>
            <w:tcW w:w="4022" w:type="dxa"/>
          </w:tcPr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Правила чтения, правила ударения в словах).</w:t>
            </w:r>
            <w:proofErr w:type="gram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Интонационные модели оформления предложения.</w:t>
            </w:r>
          </w:p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37ED9" w:rsidRPr="00966DD8" w:rsidTr="00F6592C">
        <w:tc>
          <w:tcPr>
            <w:tcW w:w="737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911" w:type="dxa"/>
          </w:tcPr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Грамматика</w:t>
            </w:r>
          </w:p>
        </w:tc>
        <w:tc>
          <w:tcPr>
            <w:tcW w:w="4022" w:type="dxa"/>
          </w:tcPr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Словообразование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Аффиксальное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словообразовани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- суффиксы существительных –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er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or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ment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once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ance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ness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tion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ation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 (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ion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ist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ture</w:t>
            </w:r>
            <w:proofErr w:type="spell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суффиксы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прилагательных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ous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-able/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ible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ful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-al,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ive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,,,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ie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(al), -less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суффиксы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глаголов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ize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,, -(i)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fy</w:t>
            </w:r>
            <w:proofErr w:type="spell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 xml:space="preserve">-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суффиксы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наречий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ly</w:t>
            </w:r>
            <w:proofErr w:type="spell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-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префикс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отрицания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dis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-,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un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-. in-/im-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- конверсия как способ словообразования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- словосложение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- греко-латинские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в процессе словообразования 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66DD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Структурные типы предложения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: вопросительные с вопросительным словом (оборотом), без вопросительного слова (оборота), повествовательное (утвердительное, отрицательное), побудительное;</w:t>
            </w:r>
            <w:proofErr w:type="gram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Простое, сложносочиненное, сложноподчиненное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Структура простого предложения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1) Формальные признаки подлежащего: позиция в предложении (повествовательном, вопросительном): обороты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; личные местоимения в именительном падеже (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you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2) Формальные признаки сказуемого: позиция в предложении (повествовательном, вопросительном); окончание смыслового глагола в 3 лице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.ч</w:t>
            </w:r>
            <w:proofErr w:type="gram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исла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-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и суффикс -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ed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; строение слова; вспомогательные глаголы (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will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shall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), модальные глаголы (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) и утратившие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полнозначность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глаголы (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grow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become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make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);  состав а) однокомпонентного сказуемого (смысловой глагол), б) многокомпонентного сказуемого (строевое слово - вспомогательные, связочные и утратившие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полнозначность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глаголы в сочетании с инфинитивом/причастием/  /именной предложной группой/прилагательным)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3) Формальные признаки второстепенных членов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предложения: позиция (перед группой подлежащего/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после подлежащего и сказуемого); предлоги в именной группе; личные местоимения в косвенном падеже.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4)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Строевые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слова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средства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связи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между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элементами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предложения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 but, and, as ... as, so ... as, either ... or, neither ... nor, both ... and.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Структура   сложноподчиненного предложения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1) формальные признаки: строевые слова, относительные местоимения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2) бессоюзные предложения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Грамматические формы и конструкции, обозначающие: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1) Предмет (лицо), явление – субъект действия - существительное в ед</w:t>
            </w:r>
            <w:proofErr w:type="gram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spellStart"/>
            <w:proofErr w:type="gram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множ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.)числе с детерминативом (артикль, указательное/притяжательное местоимение,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прилагательаное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существительное в притяжательном падеже, числительное); безличное местоимение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cold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necessary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конструкция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2) Действие (процесс), состояние: смысловые глаголы, глаголы-связки и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вспом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. глаголы: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English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Tenses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Active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Passive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; согласование времен.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3) Долженствование/необходимость/ желательность/ возможность  действия – модальные глаголы и их заменители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shall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should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will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would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ought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need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4) Объект действия – существительное (исчисляемое/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неисчисляемое), без предлога/с предлогом); личные место-</w:t>
            </w:r>
            <w:proofErr w:type="gramEnd"/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имения в косвенном падеже; притяжательные местоимения, местоимения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some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66DD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every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 и их производные.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5) Причинно-следственные и условные отношения   - </w:t>
            </w: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придаточные предложения (причины, следствия, условия)</w:t>
            </w:r>
          </w:p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6) Цель действия – неличные формы глагола</w:t>
            </w:r>
          </w:p>
        </w:tc>
      </w:tr>
      <w:tr w:rsidR="00B37ED9" w:rsidRPr="00966DD8" w:rsidTr="00F6592C">
        <w:tc>
          <w:tcPr>
            <w:tcW w:w="737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sz w:val="24"/>
                <w:szCs w:val="24"/>
              </w:rPr>
              <w:t>ПК-18</w:t>
            </w:r>
          </w:p>
        </w:tc>
        <w:tc>
          <w:tcPr>
            <w:tcW w:w="2911" w:type="dxa"/>
          </w:tcPr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</w:p>
        </w:tc>
        <w:tc>
          <w:tcPr>
            <w:tcW w:w="4022" w:type="dxa"/>
          </w:tcPr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1. Медицинское и стоматологическое образование в России, Великобритании, США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Московский Государственный Медико-стоматологический Университет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2. Анатомия человека. Скелет. Структура костей. Мышцы челюстно-лицевой области. Кости черепа.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3. Физиология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Органы полости рта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4. Стоматология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Зубы: формирование, структура и прорезывание зубов. Зубные ткани.  Кости верхней и нижней челюсти.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5. Заболевания зубов и полости рта. Кариес, пульпит, заболевания пародонта  и слизистой оболочки полости рта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6. Лечение и профилактика стоматологических заболеваний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7. Профилактика онкологических заболеваний в стоматологии.</w:t>
            </w:r>
          </w:p>
          <w:p w:rsidR="00B37ED9" w:rsidRPr="00966DD8" w:rsidRDefault="00B37ED9" w:rsidP="00F6592C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 xml:space="preserve">8. Моя будущая специальность в стоматологии (терапевт, </w:t>
            </w:r>
            <w:proofErr w:type="spellStart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ортодонт</w:t>
            </w:r>
            <w:proofErr w:type="spellEnd"/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, хирург и т.д.)</w:t>
            </w:r>
          </w:p>
          <w:p w:rsidR="00B37ED9" w:rsidRPr="00966DD8" w:rsidRDefault="00B37ED9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66DD8">
              <w:rPr>
                <w:rFonts w:ascii="Times New Roman" w:hAnsi="Times New Roman"/>
                <w:bCs/>
                <w:sz w:val="24"/>
                <w:szCs w:val="24"/>
              </w:rPr>
              <w:t>9. Система здравоохранения в России, Великобритании и США</w:t>
            </w:r>
          </w:p>
        </w:tc>
      </w:tr>
    </w:tbl>
    <w:p w:rsidR="00B37ED9" w:rsidRPr="002513CD" w:rsidRDefault="00B37ED9" w:rsidP="00B37ED9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B37ED9" w:rsidRPr="002513CD" w:rsidRDefault="00B37ED9" w:rsidP="00B37ED9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B37ED9" w:rsidRPr="002513CD" w:rsidRDefault="00B37ED9" w:rsidP="00B37ED9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B37ED9" w:rsidRPr="002513CD" w:rsidRDefault="00B37ED9" w:rsidP="00B37ED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B37ED9" w:rsidRDefault="00B37ED9" w:rsidP="00B37ED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B37ED9" w:rsidRPr="002513CD" w:rsidRDefault="00B37ED9" w:rsidP="00B37ED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B37ED9" w:rsidRPr="001D6CCE" w:rsidRDefault="00B37ED9" w:rsidP="00B37ED9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B37ED9" w:rsidRPr="001D6CCE" w:rsidRDefault="00B37ED9" w:rsidP="00B37ED9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B37ED9" w:rsidRPr="001D6CCE" w:rsidRDefault="00B37ED9" w:rsidP="00B37ED9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lastRenderedPageBreak/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B37ED9" w:rsidRPr="002513CD" w:rsidRDefault="00B37ED9" w:rsidP="00B37ED9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B37ED9" w:rsidRPr="002513CD" w:rsidRDefault="00B37ED9" w:rsidP="00B37ED9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B37ED9" w:rsidRPr="001D6CCE" w:rsidRDefault="00B37ED9" w:rsidP="00B37ED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Удельный вес занятий, проводимых в интерактивных формах, составляет не менее 5% от аудиторных занятий.</w:t>
      </w:r>
    </w:p>
    <w:p w:rsidR="00B37ED9" w:rsidRPr="002513CD" w:rsidRDefault="00B37ED9" w:rsidP="00B37E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B37ED9" w:rsidRDefault="00B37ED9" w:rsidP="00B37ED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B37ED9" w:rsidRDefault="00B37ED9" w:rsidP="00B37ED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B37ED9" w:rsidRDefault="00B37ED9" w:rsidP="00B37ED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контроля;</w:t>
      </w:r>
    </w:p>
    <w:p w:rsidR="00B37ED9" w:rsidRDefault="00B37ED9" w:rsidP="00B37ED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тексты для текущего контроля.</w:t>
      </w:r>
    </w:p>
    <w:p w:rsidR="00B37ED9" w:rsidRPr="001D6CCE" w:rsidRDefault="00B37ED9" w:rsidP="00B37ED9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B37ED9" w:rsidRPr="002513CD" w:rsidRDefault="00B37ED9" w:rsidP="00B37ED9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B37ED9" w:rsidRPr="000351C2" w:rsidRDefault="00B37ED9" w:rsidP="00B37ED9">
      <w:pPr>
        <w:pStyle w:val="a3"/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Итоговый контроль: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зачтено</w:t>
      </w:r>
    </w:p>
    <w:p w:rsidR="00B37ED9" w:rsidRPr="002513CD" w:rsidRDefault="00B37ED9" w:rsidP="00B37ED9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B37ED9" w:rsidRDefault="00B37ED9" w:rsidP="00B37ED9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11. </w:t>
      </w: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преподаватель кафедры 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лингвистики, кандидат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педагогических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наук Репина М.В.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F7E48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D9"/>
    <w:rsid w:val="0050088C"/>
    <w:rsid w:val="00B3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37ED9"/>
    <w:pPr>
      <w:ind w:left="720"/>
      <w:contextualSpacing/>
    </w:pPr>
  </w:style>
  <w:style w:type="paragraph" w:customStyle="1" w:styleId="Default">
    <w:name w:val="Default"/>
    <w:uiPriority w:val="99"/>
    <w:rsid w:val="00B37E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B37ED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37ED9"/>
    <w:pPr>
      <w:ind w:left="720"/>
      <w:contextualSpacing/>
    </w:pPr>
  </w:style>
  <w:style w:type="paragraph" w:customStyle="1" w:styleId="Default">
    <w:name w:val="Default"/>
    <w:uiPriority w:val="99"/>
    <w:rsid w:val="00B37E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B37E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1498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2018-06-28T06:16:00Z</dcterms:created>
  <dcterms:modified xsi:type="dcterms:W3CDTF">2018-06-28T06:16:00Z</dcterms:modified>
</cp:coreProperties>
</file>